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highlight w:val="none"/>
        </w:rPr>
      </w:pPr>
      <w:bookmarkStart w:id="0" w:name="_GoBack"/>
      <w:bookmarkEnd w:id="0"/>
    </w:p>
    <w:p>
      <w:pPr>
        <w:pStyle w:val="14"/>
        <w:jc w:val="center"/>
        <w:rPr>
          <w:sz w:val="56"/>
          <w:szCs w:val="56"/>
          <w:highlight w:val="none"/>
        </w:rPr>
      </w:pPr>
    </w:p>
    <w:p>
      <w:pPr>
        <w:pStyle w:val="14"/>
        <w:jc w:val="center"/>
        <w:rPr>
          <w:sz w:val="84"/>
          <w:szCs w:val="84"/>
          <w:highlight w:val="none"/>
        </w:rPr>
      </w:pPr>
    </w:p>
    <w:p>
      <w:pPr>
        <w:pStyle w:val="14"/>
        <w:jc w:val="center"/>
        <w:rPr>
          <w:sz w:val="84"/>
          <w:szCs w:val="84"/>
          <w:highlight w:val="none"/>
        </w:rPr>
      </w:pPr>
    </w:p>
    <w:p>
      <w:pPr>
        <w:pStyle w:val="14"/>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202</w:t>
      </w:r>
      <w:r>
        <w:rPr>
          <w:rFonts w:hint="eastAsia" w:ascii="方正小标宋_GBK" w:hAnsi="方正小标宋_GBK" w:eastAsia="方正小标宋_GBK" w:cs="方正小标宋_GBK"/>
          <w:sz w:val="84"/>
          <w:szCs w:val="84"/>
          <w:highlight w:val="none"/>
          <w:lang w:val="en-US" w:eastAsia="zh-CN"/>
        </w:rPr>
        <w:t>3</w:t>
      </w:r>
      <w:r>
        <w:rPr>
          <w:rFonts w:hint="eastAsia" w:ascii="方正小标宋_GBK" w:hAnsi="方正小标宋_GBK" w:eastAsia="方正小标宋_GBK" w:cs="方正小标宋_GBK"/>
          <w:sz w:val="84"/>
          <w:szCs w:val="84"/>
          <w:highlight w:val="none"/>
        </w:rPr>
        <w:t>年度</w:t>
      </w:r>
    </w:p>
    <w:p>
      <w:pPr>
        <w:pStyle w:val="14"/>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湖南省市场监管事务中心</w:t>
      </w:r>
    </w:p>
    <w:p>
      <w:pPr>
        <w:pStyle w:val="14"/>
        <w:jc w:val="center"/>
        <w:rPr>
          <w:rFonts w:hint="eastAsia" w:ascii="方正小标宋_GBK" w:hAnsi="方正小标宋_GBK" w:eastAsia="方正小标宋_GBK" w:cs="方正小标宋_GBK"/>
          <w:sz w:val="84"/>
          <w:szCs w:val="84"/>
          <w:highlight w:val="none"/>
        </w:rPr>
      </w:pPr>
      <w:r>
        <w:rPr>
          <w:rFonts w:hint="default" w:ascii="方正小标宋_GBK" w:hAnsi="方正小标宋_GBK" w:eastAsia="方正小标宋_GBK" w:cs="方正小标宋_GBK"/>
          <w:sz w:val="84"/>
          <w:szCs w:val="84"/>
          <w:highlight w:val="none"/>
          <w:lang w:val="en"/>
        </w:rPr>
        <w:t>单位</w:t>
      </w:r>
      <w:r>
        <w:rPr>
          <w:rFonts w:hint="eastAsia" w:ascii="方正小标宋_GBK" w:hAnsi="方正小标宋_GBK" w:eastAsia="方正小标宋_GBK" w:cs="方正小标宋_GBK"/>
          <w:sz w:val="84"/>
          <w:szCs w:val="84"/>
          <w:highlight w:val="none"/>
        </w:rPr>
        <w:t>决算</w:t>
      </w:r>
    </w:p>
    <w:p>
      <w:pPr>
        <w:pStyle w:val="14"/>
        <w:jc w:val="center"/>
        <w:rPr>
          <w:rFonts w:hint="eastAsia" w:ascii="方正小标宋_GBK" w:hAnsi="方正小标宋_GBK" w:eastAsia="方正小标宋_GBK" w:cs="方正小标宋_GBK"/>
          <w:sz w:val="56"/>
          <w:szCs w:val="56"/>
          <w:highlight w:val="none"/>
        </w:rPr>
      </w:pPr>
    </w:p>
    <w:p>
      <w:pPr>
        <w:pStyle w:val="14"/>
        <w:jc w:val="center"/>
        <w:rPr>
          <w:sz w:val="56"/>
          <w:szCs w:val="56"/>
          <w:highlight w:val="none"/>
        </w:rPr>
      </w:pPr>
    </w:p>
    <w:p>
      <w:pPr>
        <w:pStyle w:val="14"/>
        <w:jc w:val="center"/>
        <w:rPr>
          <w:sz w:val="56"/>
          <w:szCs w:val="56"/>
          <w:highlight w:val="none"/>
        </w:rPr>
      </w:pPr>
    </w:p>
    <w:p>
      <w:pPr>
        <w:pStyle w:val="14"/>
        <w:jc w:val="center"/>
        <w:rPr>
          <w:sz w:val="56"/>
          <w:szCs w:val="56"/>
          <w:highlight w:val="none"/>
        </w:rPr>
      </w:pPr>
    </w:p>
    <w:p>
      <w:pPr>
        <w:pStyle w:val="14"/>
        <w:jc w:val="center"/>
        <w:rPr>
          <w:sz w:val="32"/>
          <w:szCs w:val="32"/>
          <w:highlight w:val="none"/>
        </w:rPr>
      </w:pPr>
    </w:p>
    <w:p>
      <w:pPr>
        <w:pStyle w:val="14"/>
        <w:jc w:val="center"/>
        <w:rPr>
          <w:sz w:val="32"/>
          <w:szCs w:val="32"/>
          <w:highlight w:val="none"/>
        </w:rPr>
      </w:pPr>
    </w:p>
    <w:p>
      <w:pPr>
        <w:pStyle w:val="14"/>
        <w:jc w:val="center"/>
        <w:rPr>
          <w:sz w:val="32"/>
          <w:szCs w:val="32"/>
          <w:highlight w:val="none"/>
        </w:rPr>
      </w:pPr>
    </w:p>
    <w:p>
      <w:pPr>
        <w:pStyle w:val="14"/>
        <w:jc w:val="center"/>
        <w:rPr>
          <w:sz w:val="32"/>
          <w:szCs w:val="32"/>
          <w:highlight w:val="none"/>
        </w:rPr>
      </w:pPr>
    </w:p>
    <w:p>
      <w:pPr>
        <w:pStyle w:val="14"/>
        <w:spacing w:line="500" w:lineRule="exact"/>
        <w:jc w:val="center"/>
        <w:rPr>
          <w:b/>
          <w:sz w:val="36"/>
          <w:szCs w:val="28"/>
          <w:highlight w:val="none"/>
        </w:rPr>
      </w:pPr>
      <w:r>
        <w:rPr>
          <w:rFonts w:hint="eastAsia"/>
          <w:b/>
          <w:sz w:val="36"/>
          <w:szCs w:val="28"/>
          <w:highlight w:val="none"/>
        </w:rPr>
        <w:t>目录</w:t>
      </w:r>
    </w:p>
    <w:p>
      <w:pPr>
        <w:pStyle w:val="14"/>
        <w:spacing w:line="500" w:lineRule="exact"/>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第一部分</w:t>
      </w:r>
      <w:r>
        <w:rPr>
          <w:rFonts w:hint="eastAsia" w:hAnsi="黑体" w:cs="黑体"/>
          <w:b w:val="0"/>
          <w:bCs/>
          <w:sz w:val="28"/>
          <w:szCs w:val="28"/>
          <w:highlight w:val="none"/>
          <w:lang w:val="en-US" w:eastAsia="zh-CN"/>
        </w:rPr>
        <w:t xml:space="preserve"> </w:t>
      </w:r>
      <w:r>
        <w:rPr>
          <w:rFonts w:hint="eastAsia" w:ascii="黑体" w:hAnsi="黑体" w:eastAsia="黑体" w:cs="黑体"/>
          <w:b w:val="0"/>
          <w:bCs/>
          <w:sz w:val="28"/>
          <w:szCs w:val="28"/>
          <w:highlight w:val="none"/>
          <w:lang w:val="en-US" w:eastAsia="zh-CN"/>
        </w:rPr>
        <w:t>湖南省市场监管事务中心</w:t>
      </w:r>
      <w:r>
        <w:rPr>
          <w:rFonts w:hint="eastAsia" w:ascii="黑体" w:hAnsi="黑体" w:eastAsia="黑体" w:cs="黑体"/>
          <w:b w:val="0"/>
          <w:bCs/>
          <w:sz w:val="28"/>
          <w:szCs w:val="28"/>
          <w:highlight w:val="none"/>
        </w:rPr>
        <w:t>概况</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w:t>
      </w:r>
      <w:r>
        <w:rPr>
          <w:rFonts w:hint="eastAsia" w:ascii="仿宋_GB2312" w:hAnsi="仿宋_GB2312" w:eastAsia="仿宋_GB2312" w:cs="仿宋_GB2312"/>
          <w:sz w:val="28"/>
          <w:szCs w:val="28"/>
          <w:highlight w:val="none"/>
          <w:lang w:eastAsia="zh-CN"/>
        </w:rPr>
        <w:t>单位</w:t>
      </w:r>
      <w:r>
        <w:rPr>
          <w:rFonts w:hint="eastAsia" w:ascii="仿宋_GB2312" w:hAnsi="仿宋_GB2312" w:eastAsia="仿宋_GB2312" w:cs="仿宋_GB2312"/>
          <w:sz w:val="28"/>
          <w:szCs w:val="28"/>
          <w:highlight w:val="none"/>
        </w:rPr>
        <w:t>职责</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二、机构设置</w:t>
      </w:r>
    </w:p>
    <w:p>
      <w:pPr>
        <w:pStyle w:val="14"/>
        <w:spacing w:line="500" w:lineRule="exact"/>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第二部分</w:t>
      </w:r>
      <w:r>
        <w:rPr>
          <w:rFonts w:hint="eastAsia" w:ascii="黑体" w:hAnsi="黑体" w:eastAsia="黑体" w:cs="黑体"/>
          <w:b w:val="0"/>
          <w:bCs/>
          <w:sz w:val="28"/>
          <w:szCs w:val="28"/>
          <w:highlight w:val="none"/>
          <w:lang w:val="en-US" w:eastAsia="zh-CN"/>
        </w:rPr>
        <w:t xml:space="preserve"> </w:t>
      </w:r>
      <w:r>
        <w:rPr>
          <w:rFonts w:hint="eastAsia" w:hAnsi="黑体" w:cs="黑体"/>
          <w:b w:val="0"/>
          <w:bCs/>
          <w:sz w:val="28"/>
          <w:szCs w:val="28"/>
          <w:highlight w:val="none"/>
          <w:lang w:val="en-US" w:eastAsia="zh-CN"/>
        </w:rPr>
        <w:t>单位</w:t>
      </w:r>
      <w:r>
        <w:rPr>
          <w:rFonts w:hint="eastAsia" w:ascii="黑体" w:hAnsi="黑体" w:eastAsia="黑体" w:cs="黑体"/>
          <w:b w:val="0"/>
          <w:bCs/>
          <w:sz w:val="28"/>
          <w:szCs w:val="28"/>
          <w:highlight w:val="none"/>
        </w:rPr>
        <w:t>决算表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一、收入支出决算总表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二、收入决算表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三、支出决算表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四、财政拨款收入支出决算总表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五、一般公共预算财政拨款支出决算表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六、一般公共预算财政拨款基本支出决算明细表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七、政府性基金预算财政拨款收入支出决算表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八、国有资本经营预算财政拨款支出决算表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九、财政拨款“三公”经费支出决算表</w:t>
      </w:r>
    </w:p>
    <w:p>
      <w:pPr>
        <w:pStyle w:val="14"/>
        <w:spacing w:line="500" w:lineRule="exact"/>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第三部分</w:t>
      </w:r>
      <w:r>
        <w:rPr>
          <w:rFonts w:hint="eastAsia" w:ascii="黑体" w:hAnsi="黑体" w:eastAsia="黑体" w:cs="黑体"/>
          <w:b w:val="0"/>
          <w:bCs/>
          <w:sz w:val="28"/>
          <w:szCs w:val="28"/>
          <w:highlight w:val="none"/>
          <w:lang w:val="en-US" w:eastAsia="zh-CN"/>
        </w:rPr>
        <w:t xml:space="preserve"> </w:t>
      </w:r>
      <w:r>
        <w:rPr>
          <w:rFonts w:hint="eastAsia" w:hAnsi="黑体" w:cs="黑体"/>
          <w:b w:val="0"/>
          <w:bCs/>
          <w:sz w:val="28"/>
          <w:szCs w:val="28"/>
          <w:highlight w:val="none"/>
          <w:lang w:val="en-US" w:eastAsia="zh-CN"/>
        </w:rPr>
        <w:t>单位</w:t>
      </w:r>
      <w:r>
        <w:rPr>
          <w:rFonts w:hint="eastAsia" w:ascii="黑体" w:hAnsi="黑体" w:eastAsia="黑体" w:cs="黑体"/>
          <w:b w:val="0"/>
          <w:bCs/>
          <w:sz w:val="28"/>
          <w:szCs w:val="28"/>
          <w:highlight w:val="none"/>
        </w:rPr>
        <w:t>决算情况说明</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十一、关于政府采购支出说明</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十二、关于国有资产占用情况说明</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十三、关于</w:t>
      </w:r>
      <w:r>
        <w:rPr>
          <w:rFonts w:hint="default" w:ascii="Times New Roman" w:hAnsi="Times New Roman" w:eastAsia="仿宋_GB2312" w:cs="Times New Roman"/>
          <w:sz w:val="28"/>
          <w:szCs w:val="28"/>
          <w:highlight w:val="none"/>
        </w:rPr>
        <w:t>202</w:t>
      </w:r>
      <w:r>
        <w:rPr>
          <w:rFonts w:hint="default" w:ascii="Times New Roman" w:hAnsi="Times New Roman" w:eastAsia="仿宋_GB2312" w:cs="Times New Roman"/>
          <w:sz w:val="28"/>
          <w:szCs w:val="28"/>
          <w:highlight w:val="none"/>
          <w:lang w:val="en-US" w:eastAsia="zh-CN"/>
        </w:rPr>
        <w:t>3</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绩效情况的说明</w:t>
      </w:r>
    </w:p>
    <w:p>
      <w:pPr>
        <w:pStyle w:val="14"/>
        <w:spacing w:line="500" w:lineRule="exact"/>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第四部分</w:t>
      </w:r>
      <w:r>
        <w:rPr>
          <w:rFonts w:hint="eastAsia" w:ascii="黑体" w:hAnsi="黑体" w:eastAsia="黑体" w:cs="黑体"/>
          <w:b w:val="0"/>
          <w:bCs/>
          <w:sz w:val="28"/>
          <w:szCs w:val="28"/>
          <w:highlight w:val="none"/>
          <w:lang w:val="en-US" w:eastAsia="zh-CN"/>
        </w:rPr>
        <w:t xml:space="preserve"> </w:t>
      </w:r>
      <w:r>
        <w:rPr>
          <w:rFonts w:hint="eastAsia" w:ascii="黑体" w:hAnsi="黑体" w:eastAsia="黑体" w:cs="黑体"/>
          <w:b w:val="0"/>
          <w:bCs/>
          <w:sz w:val="28"/>
          <w:szCs w:val="28"/>
          <w:highlight w:val="none"/>
        </w:rPr>
        <w:t>名词解释</w:t>
      </w:r>
    </w:p>
    <w:p>
      <w:pPr>
        <w:pStyle w:val="14"/>
        <w:spacing w:line="500" w:lineRule="exact"/>
        <w:rPr>
          <w:rFonts w:hint="eastAsia" w:ascii="黑体" w:hAnsi="黑体" w:eastAsia="黑体" w:cs="黑体"/>
          <w:b w:val="0"/>
          <w:bCs/>
          <w:sz w:val="28"/>
          <w:szCs w:val="28"/>
          <w:highlight w:val="none"/>
          <w:lang w:eastAsia="zh-CN"/>
        </w:rPr>
      </w:pPr>
      <w:r>
        <w:rPr>
          <w:rFonts w:hint="eastAsia" w:ascii="黑体" w:hAnsi="黑体" w:eastAsia="黑体" w:cs="黑体"/>
          <w:b w:val="0"/>
          <w:bCs/>
          <w:sz w:val="28"/>
          <w:szCs w:val="28"/>
          <w:highlight w:val="none"/>
        </w:rPr>
        <w:t>第</w:t>
      </w:r>
      <w:r>
        <w:rPr>
          <w:rFonts w:hint="eastAsia" w:hAnsi="黑体" w:cs="黑体"/>
          <w:b w:val="0"/>
          <w:bCs/>
          <w:sz w:val="28"/>
          <w:szCs w:val="28"/>
          <w:highlight w:val="none"/>
          <w:lang w:eastAsia="zh-CN"/>
        </w:rPr>
        <w:t>五</w:t>
      </w:r>
      <w:r>
        <w:rPr>
          <w:rFonts w:hint="eastAsia" w:ascii="黑体" w:hAnsi="黑体" w:eastAsia="黑体" w:cs="黑体"/>
          <w:b w:val="0"/>
          <w:bCs/>
          <w:sz w:val="28"/>
          <w:szCs w:val="28"/>
          <w:highlight w:val="none"/>
        </w:rPr>
        <w:t>部分</w:t>
      </w:r>
      <w:r>
        <w:rPr>
          <w:rFonts w:hint="eastAsia" w:ascii="黑体" w:hAnsi="黑体" w:eastAsia="黑体" w:cs="黑体"/>
          <w:b w:val="0"/>
          <w:bCs/>
          <w:sz w:val="28"/>
          <w:szCs w:val="28"/>
          <w:highlight w:val="none"/>
          <w:lang w:val="en-US" w:eastAsia="zh-CN"/>
        </w:rPr>
        <w:t xml:space="preserve"> </w:t>
      </w:r>
      <w:r>
        <w:rPr>
          <w:rFonts w:hint="eastAsia" w:hAnsi="黑体" w:cs="黑体"/>
          <w:b w:val="0"/>
          <w:bCs/>
          <w:sz w:val="28"/>
          <w:szCs w:val="28"/>
          <w:highlight w:val="none"/>
          <w:lang w:eastAsia="zh-CN"/>
        </w:rPr>
        <w:t>附件</w:t>
      </w:r>
    </w:p>
    <w:p>
      <w:pPr>
        <w:pStyle w:val="14"/>
        <w:spacing w:line="500" w:lineRule="exact"/>
        <w:rPr>
          <w:rFonts w:hint="eastAsia" w:ascii="黑体" w:hAnsi="黑体" w:eastAsia="黑体" w:cs="黑体"/>
          <w:b w:val="0"/>
          <w:bCs/>
          <w:sz w:val="28"/>
          <w:szCs w:val="28"/>
          <w:highlight w:val="none"/>
        </w:rPr>
      </w:pPr>
    </w:p>
    <w:p>
      <w:pPr>
        <w:jc w:val="both"/>
        <w:rPr>
          <w:sz w:val="72"/>
          <w:szCs w:val="72"/>
          <w:highlight w:val="none"/>
        </w:rPr>
      </w:pPr>
    </w:p>
    <w:p>
      <w:pPr>
        <w:jc w:val="both"/>
        <w:rPr>
          <w:sz w:val="72"/>
          <w:szCs w:val="72"/>
          <w:highlight w:val="none"/>
        </w:rPr>
      </w:pPr>
    </w:p>
    <w:p>
      <w:pP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 xml:space="preserve">第一部分 </w:t>
      </w:r>
    </w:p>
    <w:p>
      <w:pPr>
        <w:pStyle w:val="14"/>
        <w:jc w:val="center"/>
        <w:rPr>
          <w:rFonts w:hint="eastAsia" w:ascii="方正小标宋_GBK" w:hAnsi="方正小标宋_GBK" w:eastAsia="方正小标宋_GBK" w:cs="方正小标宋_GBK"/>
          <w:sz w:val="84"/>
          <w:szCs w:val="84"/>
          <w:highlight w:val="none"/>
        </w:rPr>
      </w:pPr>
    </w:p>
    <w:p>
      <w:pPr>
        <w:pStyle w:val="14"/>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湖南省市场监管事务中心</w:t>
      </w:r>
    </w:p>
    <w:p>
      <w:pPr>
        <w:pStyle w:val="14"/>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单位概况</w:t>
      </w:r>
    </w:p>
    <w:p>
      <w:pPr>
        <w:jc w:val="center"/>
        <w:rPr>
          <w:rFonts w:hint="eastAsia" w:ascii="方正小标宋_GBK" w:hAnsi="方正小标宋_GBK" w:eastAsia="方正小标宋_GBK" w:cs="方正小标宋_GBK"/>
          <w:sz w:val="72"/>
          <w:szCs w:val="72"/>
          <w:highlight w:val="none"/>
        </w:rPr>
      </w:pPr>
    </w:p>
    <w:p>
      <w:pPr>
        <w:jc w:val="center"/>
        <w:rPr>
          <w:rFonts w:hint="eastAsia" w:ascii="方正小标宋_GBK" w:hAnsi="方正小标宋_GBK" w:eastAsia="方正小标宋_GBK" w:cs="方正小标宋_GBK"/>
          <w:sz w:val="72"/>
          <w:szCs w:val="72"/>
          <w:highlight w:val="none"/>
        </w:rPr>
      </w:pPr>
    </w:p>
    <w:p>
      <w:pPr>
        <w:jc w:val="center"/>
        <w:rPr>
          <w:sz w:val="72"/>
          <w:szCs w:val="72"/>
          <w:highlight w:val="none"/>
        </w:rPr>
      </w:pPr>
    </w:p>
    <w:p>
      <w:pPr>
        <w:jc w:val="center"/>
        <w:rPr>
          <w:sz w:val="72"/>
          <w:szCs w:val="72"/>
          <w:highlight w:val="none"/>
        </w:rPr>
      </w:pPr>
    </w:p>
    <w:p>
      <w:pPr>
        <w:jc w:val="center"/>
        <w:rPr>
          <w:sz w:val="72"/>
          <w:szCs w:val="72"/>
          <w:highlight w:val="none"/>
        </w:rPr>
      </w:pPr>
    </w:p>
    <w:p>
      <w:pPr>
        <w:pStyle w:val="15"/>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lang w:eastAsia="zh-CN"/>
        </w:rPr>
        <w:t>一、单位</w:t>
      </w:r>
      <w:r>
        <w:rPr>
          <w:rFonts w:hint="eastAsia" w:ascii="黑体" w:hAnsi="黑体" w:eastAsia="黑体" w:cs="黑体"/>
          <w:b w:val="0"/>
          <w:bCs w:val="0"/>
          <w:sz w:val="32"/>
          <w:szCs w:val="32"/>
          <w:highlight w:val="none"/>
        </w:rPr>
        <w:t>职责</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highlight w:val="none"/>
        </w:rPr>
      </w:pPr>
      <w:r>
        <w:rPr>
          <w:rFonts w:hint="eastAsia" w:ascii="Times New Roman" w:hAnsi="Times New Roman" w:eastAsia="仿宋_GB2312" w:cs="仿宋_GB2312"/>
          <w:bCs/>
          <w:kern w:val="0"/>
          <w:sz w:val="32"/>
          <w:szCs w:val="32"/>
          <w:highlight w:val="none"/>
        </w:rPr>
        <w:t>主要承担政务窗口服务、协助信访接待工作、协助机关文明创建工作，协助落实自贸区改革创新任务，深化“放管服”改革优化营商环境等相关事务性职能。</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kern w:val="0"/>
          <w:sz w:val="32"/>
          <w:szCs w:val="32"/>
          <w:highlight w:val="none"/>
        </w:rPr>
      </w:pPr>
      <w:r>
        <w:rPr>
          <w:rFonts w:hint="eastAsia" w:ascii="黑体" w:hAnsi="黑体" w:eastAsia="黑体" w:cs="黑体"/>
          <w:b w:val="0"/>
          <w:bCs/>
          <w:kern w:val="0"/>
          <w:sz w:val="32"/>
          <w:szCs w:val="32"/>
          <w:highlight w:val="none"/>
        </w:rPr>
        <w:t>二、机构设置及决算单位构成</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highlight w:val="none"/>
        </w:rPr>
      </w:pPr>
      <w:r>
        <w:rPr>
          <w:rFonts w:hint="eastAsia" w:ascii="Times New Roman" w:hAnsi="Times New Roman" w:eastAsia="仿宋_GB2312" w:cs="仿宋_GB2312"/>
          <w:bCs/>
          <w:kern w:val="0"/>
          <w:sz w:val="32"/>
          <w:szCs w:val="32"/>
          <w:highlight w:val="none"/>
        </w:rPr>
        <w:t>（一）内设机构设置。</w:t>
      </w:r>
      <w:r>
        <w:rPr>
          <w:rFonts w:hint="eastAsia" w:ascii="Times New Roman" w:hAnsi="Times New Roman" w:eastAsia="仿宋_GB2312" w:cs="仿宋_GB2312"/>
          <w:bCs/>
          <w:kern w:val="0"/>
          <w:sz w:val="32"/>
          <w:szCs w:val="32"/>
          <w:highlight w:val="none"/>
          <w:lang w:val="en-US" w:eastAsia="zh-CN"/>
        </w:rPr>
        <w:t>2023年</w:t>
      </w:r>
      <w:r>
        <w:rPr>
          <w:rFonts w:hint="eastAsia" w:ascii="Times New Roman" w:hAnsi="Times New Roman" w:eastAsia="仿宋_GB2312" w:cs="仿宋_GB2312"/>
          <w:bCs/>
          <w:kern w:val="0"/>
          <w:sz w:val="32"/>
          <w:szCs w:val="32"/>
          <w:highlight w:val="none"/>
        </w:rPr>
        <w:t>单位内设机构包括：综合部、政务服务部、机关事务部</w:t>
      </w:r>
      <w:r>
        <w:rPr>
          <w:rFonts w:hint="eastAsia" w:ascii="Times New Roman" w:hAnsi="Times New Roman" w:eastAsia="仿宋_GB2312" w:cs="仿宋_GB2312"/>
          <w:bCs/>
          <w:kern w:val="0"/>
          <w:sz w:val="32"/>
          <w:szCs w:val="32"/>
          <w:highlight w:val="none"/>
          <w:lang w:eastAsia="zh-CN"/>
        </w:rPr>
        <w:t>。</w:t>
      </w:r>
      <w:r>
        <w:rPr>
          <w:rFonts w:hint="eastAsia" w:ascii="Times New Roman" w:hAnsi="Times New Roman" w:eastAsia="仿宋_GB2312" w:cs="仿宋_GB2312"/>
          <w:bCs/>
          <w:kern w:val="0"/>
          <w:sz w:val="32"/>
          <w:szCs w:val="32"/>
          <w:highlight w:val="none"/>
        </w:rPr>
        <w:t>湖南省市场监管事务中心所属公益一类事业单位，机构规格为正处级，核定事业编制 19 名，核定主任1 名、副主任2名。</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highlight w:val="none"/>
          <w:lang w:eastAsia="zh-CN"/>
        </w:rPr>
      </w:pPr>
      <w:r>
        <w:rPr>
          <w:rFonts w:hint="eastAsia" w:ascii="Times New Roman" w:hAnsi="Times New Roman" w:eastAsia="仿宋_GB2312" w:cs="仿宋_GB2312"/>
          <w:bCs/>
          <w:kern w:val="0"/>
          <w:sz w:val="32"/>
          <w:szCs w:val="32"/>
          <w:highlight w:val="none"/>
        </w:rPr>
        <w:t>（二）决算单位构成。湖南省市场监管事务中心202</w:t>
      </w:r>
      <w:r>
        <w:rPr>
          <w:rFonts w:hint="eastAsia" w:ascii="Times New Roman" w:hAnsi="Times New Roman" w:eastAsia="仿宋_GB2312" w:cs="仿宋_GB2312"/>
          <w:bCs/>
          <w:kern w:val="0"/>
          <w:sz w:val="32"/>
          <w:szCs w:val="32"/>
          <w:highlight w:val="none"/>
          <w:lang w:val="en-US" w:eastAsia="zh-CN"/>
        </w:rPr>
        <w:t>3</w:t>
      </w:r>
      <w:r>
        <w:rPr>
          <w:rFonts w:hint="eastAsia" w:ascii="Times New Roman" w:hAnsi="Times New Roman" w:eastAsia="仿宋_GB2312" w:cs="仿宋_GB2312"/>
          <w:bCs/>
          <w:kern w:val="0"/>
          <w:sz w:val="32"/>
          <w:szCs w:val="32"/>
          <w:highlight w:val="none"/>
        </w:rPr>
        <w:t>年部门决算汇总公开单位构成包括：湖南省市场监管事务中心单位本级</w:t>
      </w:r>
      <w:r>
        <w:rPr>
          <w:rFonts w:hint="eastAsia" w:ascii="Times New Roman" w:hAnsi="Times New Roman" w:eastAsia="仿宋_GB2312" w:cs="仿宋_GB2312"/>
          <w:bCs/>
          <w:kern w:val="0"/>
          <w:sz w:val="32"/>
          <w:szCs w:val="32"/>
          <w:highlight w:val="none"/>
          <w:lang w:eastAsia="zh-CN"/>
        </w:rPr>
        <w:t>。</w:t>
      </w:r>
    </w:p>
    <w:p>
      <w:pPr>
        <w:jc w:val="left"/>
        <w:rPr>
          <w:rFonts w:ascii="仿宋_GB2312" w:eastAsia="仿宋_GB2312" w:hAnsiTheme="minorEastAsia"/>
          <w:sz w:val="28"/>
          <w:szCs w:val="32"/>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sz w:val="72"/>
          <w:szCs w:val="72"/>
          <w:highlight w:val="none"/>
        </w:rPr>
      </w:pPr>
    </w:p>
    <w:p>
      <w:pPr>
        <w:jc w:val="center"/>
        <w:rPr>
          <w:sz w:val="72"/>
          <w:szCs w:val="72"/>
          <w:highlight w:val="none"/>
        </w:rPr>
      </w:pPr>
    </w:p>
    <w:p>
      <w:pPr>
        <w:jc w:val="center"/>
        <w:rPr>
          <w:sz w:val="72"/>
          <w:szCs w:val="72"/>
          <w:highlight w:val="none"/>
        </w:rPr>
      </w:pPr>
    </w:p>
    <w:p>
      <w:pPr>
        <w:jc w:val="center"/>
        <w:rPr>
          <w:sz w:val="72"/>
          <w:szCs w:val="72"/>
          <w:highlight w:val="none"/>
        </w:rPr>
      </w:pPr>
    </w:p>
    <w:p>
      <w:pPr>
        <w:pStyle w:val="14"/>
        <w:jc w:val="center"/>
        <w:rPr>
          <w:rFonts w:hint="eastAsia" w:ascii="方正小标宋_GBK" w:hAnsi="方正小标宋_GBK" w:eastAsia="方正小标宋_GBK" w:cs="方正小标宋_GBK"/>
          <w:sz w:val="84"/>
          <w:szCs w:val="84"/>
          <w:highlight w:val="none"/>
        </w:rPr>
      </w:pPr>
    </w:p>
    <w:p>
      <w:pPr>
        <w:pStyle w:val="14"/>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第二部分</w:t>
      </w:r>
    </w:p>
    <w:p>
      <w:pPr>
        <w:pStyle w:val="14"/>
        <w:jc w:val="center"/>
        <w:rPr>
          <w:rFonts w:hint="eastAsia" w:ascii="方正小标宋_GBK" w:hAnsi="方正小标宋_GBK" w:eastAsia="方正小标宋_GBK" w:cs="方正小标宋_GBK"/>
          <w:sz w:val="84"/>
          <w:szCs w:val="84"/>
          <w:highlight w:val="none"/>
        </w:rPr>
      </w:pPr>
    </w:p>
    <w:p>
      <w:pPr>
        <w:pStyle w:val="14"/>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单位决算表</w:t>
      </w:r>
    </w:p>
    <w:p>
      <w:pPr>
        <w:jc w:val="center"/>
        <w:rPr>
          <w:sz w:val="72"/>
          <w:szCs w:val="72"/>
          <w:highlight w:val="none"/>
        </w:rPr>
      </w:pPr>
    </w:p>
    <w:p>
      <w:pPr>
        <w:jc w:val="center"/>
        <w:rPr>
          <w:sz w:val="72"/>
          <w:szCs w:val="72"/>
          <w:highlight w:val="none"/>
        </w:rPr>
      </w:pPr>
    </w:p>
    <w:p>
      <w:pPr>
        <w:jc w:val="center"/>
        <w:rPr>
          <w:sz w:val="72"/>
          <w:szCs w:val="72"/>
          <w:highlight w:val="none"/>
        </w:rPr>
      </w:pPr>
    </w:p>
    <w:p>
      <w:pPr>
        <w:jc w:val="center"/>
        <w:rPr>
          <w:sz w:val="72"/>
          <w:szCs w:val="72"/>
          <w:highlight w:val="none"/>
        </w:rPr>
      </w:pPr>
    </w:p>
    <w:p>
      <w:pPr>
        <w:jc w:val="center"/>
        <w:rPr>
          <w:sz w:val="72"/>
          <w:szCs w:val="72"/>
          <w:highlight w:val="none"/>
        </w:rPr>
      </w:pPr>
    </w:p>
    <w:p>
      <w:pPr>
        <w:jc w:val="center"/>
        <w:rPr>
          <w:sz w:val="72"/>
          <w:szCs w:val="72"/>
          <w:highlight w:val="none"/>
        </w:rPr>
      </w:pPr>
    </w:p>
    <w:p>
      <w:pPr>
        <w:jc w:val="left"/>
        <w:rPr>
          <w:sz w:val="32"/>
          <w:szCs w:val="32"/>
          <w:highlight w:val="none"/>
        </w:rPr>
      </w:pPr>
    </w:p>
    <w:p>
      <w:pPr>
        <w:jc w:val="left"/>
        <w:rPr>
          <w:rFonts w:asciiTheme="minorEastAsia" w:hAnsiTheme="minorEastAsia"/>
          <w:sz w:val="32"/>
          <w:szCs w:val="32"/>
          <w:highlight w:val="none"/>
        </w:rPr>
        <w:sectPr>
          <w:pgSz w:w="11906" w:h="16838"/>
          <w:pgMar w:top="720" w:right="720" w:bottom="720" w:left="720" w:header="851" w:footer="992" w:gutter="0"/>
          <w:cols w:space="425" w:num="1"/>
          <w:docGrid w:type="lines" w:linePitch="312" w:charSpace="0"/>
        </w:sectPr>
      </w:pPr>
    </w:p>
    <w:p>
      <w:pPr>
        <w:spacing w:beforeLines="0" w:afterLines="0"/>
        <w:rPr>
          <w:rFonts w:hint="eastAsia"/>
          <w:sz w:val="21"/>
          <w:szCs w:val="22"/>
          <w:highlight w:val="none"/>
        </w:rPr>
      </w:pPr>
    </w:p>
    <w:tbl>
      <w:tblPr>
        <w:tblStyle w:val="9"/>
        <w:tblW w:w="1616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34"/>
        <w:gridCol w:w="1006"/>
        <w:gridCol w:w="1513"/>
        <w:gridCol w:w="5396"/>
        <w:gridCol w:w="1006"/>
        <w:gridCol w:w="15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6169" w:type="dxa"/>
            <w:gridSpan w:val="6"/>
            <w:tcBorders>
              <w:top w:val="nil"/>
              <w:left w:val="nil"/>
              <w:bottom w:val="nil"/>
              <w:right w:val="nil"/>
              <w:tl2br w:val="nil"/>
              <w:tr2bl w:val="nil"/>
            </w:tcBorders>
            <w:shd w:val="clear" w:color="auto" w:fill="FFFFFF"/>
            <w:vAlign w:val="center"/>
          </w:tcPr>
          <w:p>
            <w:pPr>
              <w:widowControl/>
              <w:spacing w:beforeLines="0" w:afterLines="0"/>
              <w:jc w:val="center"/>
              <w:textAlignment w:val="center"/>
              <w:rPr>
                <w:rFonts w:hint="eastAsia" w:ascii="黑体" w:hAnsi="宋体" w:eastAsia="黑体" w:cs="黑体"/>
                <w:color w:val="000000"/>
                <w:sz w:val="30"/>
                <w:szCs w:val="30"/>
                <w:highlight w:val="none"/>
              </w:rPr>
            </w:pPr>
            <w:r>
              <w:rPr>
                <w:rFonts w:hint="eastAsia" w:ascii="黑体" w:hAnsi="宋体" w:eastAsia="黑体" w:cs="黑体"/>
                <w:color w:val="000000"/>
                <w:kern w:val="0"/>
                <w:sz w:val="30"/>
                <w:szCs w:val="30"/>
                <w:highlight w:val="none"/>
                <w:lang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734"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006"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513"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5396"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2520" w:type="dxa"/>
            <w:gridSpan w:val="2"/>
            <w:tcBorders>
              <w:top w:val="nil"/>
              <w:left w:val="nil"/>
              <w:bottom w:val="nil"/>
              <w:right w:val="nil"/>
              <w:tl2br w:val="nil"/>
              <w:tr2bl w:val="nil"/>
            </w:tcBorders>
            <w:shd w:val="clear" w:color="auto" w:fill="FFFFFF"/>
            <w:vAlign w:val="center"/>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49" w:type="dxa"/>
            <w:gridSpan w:val="4"/>
            <w:tcBorders>
              <w:top w:val="nil"/>
              <w:left w:val="nil"/>
              <w:bottom w:val="nil"/>
              <w:right w:val="nil"/>
              <w:tl2br w:val="nil"/>
              <w:tr2bl w:val="nil"/>
            </w:tcBorders>
            <w:shd w:val="clear" w:color="auto" w:fill="FFFFFF"/>
            <w:vAlign w:val="bottom"/>
          </w:tcPr>
          <w:p>
            <w:pPr>
              <w:widowControl/>
              <w:spacing w:beforeLines="0" w:afterLines="0"/>
              <w:jc w:val="left"/>
              <w:textAlignment w:val="bottom"/>
              <w:rPr>
                <w:rFonts w:hint="default"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val="en-US" w:eastAsia="zh-CN" w:bidi="ar"/>
              </w:rPr>
              <w:t>单位</w:t>
            </w:r>
            <w:r>
              <w:rPr>
                <w:rFonts w:hint="default" w:ascii="宋体" w:hAnsi="宋体" w:eastAsia="宋体" w:cs="宋体"/>
                <w:color w:val="000000"/>
                <w:kern w:val="0"/>
                <w:sz w:val="20"/>
                <w:szCs w:val="20"/>
                <w:highlight w:val="none"/>
                <w:lang w:bidi="ar"/>
              </w:rPr>
              <w:t>：湖南省市场监管事务中心</w:t>
            </w:r>
          </w:p>
        </w:tc>
        <w:tc>
          <w:tcPr>
            <w:tcW w:w="2520" w:type="dxa"/>
            <w:gridSpan w:val="2"/>
            <w:tcBorders>
              <w:top w:val="nil"/>
              <w:left w:val="nil"/>
              <w:bottom w:val="nil"/>
              <w:right w:val="nil"/>
              <w:tl2br w:val="nil"/>
              <w:tr2bl w:val="nil"/>
            </w:tcBorders>
            <w:shd w:val="clear" w:color="auto" w:fill="FFFFFF"/>
            <w:vAlign w:val="center"/>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3"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收入</w:t>
            </w:r>
          </w:p>
        </w:tc>
        <w:tc>
          <w:tcPr>
            <w:tcW w:w="791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项目</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行次</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金额</w:t>
            </w: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项目</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行次</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栏次</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center"/>
              <w:rPr>
                <w:rFonts w:hint="default" w:ascii="宋体" w:hAnsi="宋体" w:eastAsia="宋体" w:cs="宋体"/>
                <w:color w:val="000000"/>
                <w:sz w:val="22"/>
                <w:szCs w:val="22"/>
                <w:highlight w:val="none"/>
              </w:rPr>
            </w:pP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w:t>
            </w: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栏次</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center"/>
              <w:rPr>
                <w:rFonts w:hint="default" w:ascii="宋体" w:hAnsi="宋体" w:eastAsia="宋体" w:cs="宋体"/>
                <w:color w:val="000000"/>
                <w:sz w:val="22"/>
                <w:szCs w:val="22"/>
                <w:highlight w:val="none"/>
              </w:rPr>
            </w:pP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一、一般公共预算财政拨款收入</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2,490.66</w:t>
            </w: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一、一般公共服务支出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32</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2,112.44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二、政府性基金预算财政拨款收入</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二、外交支出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33</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三、国有资本经营预算财政拨款收入</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三、国防支出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34</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四、上级补助收入</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四、公共安全支出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35</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五、事业收入</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五、教育支出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36</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六、经营收入</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六、科学技术支出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37</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七、附属单位上缴收入</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7</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七、文化旅游体育与传媒支出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38</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八、其他收入</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八、社会保障和就业支出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39</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110.63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9</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九、卫生健康支出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40</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十、节能环保支出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41</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11</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十一、城乡社区支出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42</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12</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十二、农林水支出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43</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13</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十三、交通运输支出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14</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十四、资源勘探工业信息等支出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45</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15</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十五、商业服务业等支出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46</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16</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十六、金融支出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47</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17</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十七、援助其他地区支出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48</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18</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十八、自然资源海洋气象等支出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49</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19</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十九、住房保障支出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50</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二十、粮油物资储备支出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51</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二十一、国有资本经营预算支出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52</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22</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二十二、灾害防治及应急管理支出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53</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23</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二十三、其他支出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54</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center"/>
              <w:rPr>
                <w:rFonts w:hint="default" w:ascii="宋体" w:hAnsi="宋体" w:eastAsia="宋体" w:cs="宋体"/>
                <w:b/>
                <w:color w:val="000000"/>
                <w:sz w:val="20"/>
                <w:szCs w:val="20"/>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24</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0"/>
                <w:szCs w:val="20"/>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二十四、债务还本支出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55</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0"/>
                <w:szCs w:val="20"/>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25</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0"/>
                <w:szCs w:val="20"/>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二十五、债务付息支出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56</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0"/>
                <w:szCs w:val="20"/>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26</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0"/>
                <w:szCs w:val="20"/>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二十六、抗疫特别国债安排的支出</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57</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本年收入合计</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27</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2,490.66</w:t>
            </w: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本年支出合计</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58</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2,353.45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使用非财政拨款结余和专用结余</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28</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结余分配</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59</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年初结转和结余</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29</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39.87</w:t>
            </w: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年末结转和结余</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60</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177.08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61</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总计</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w:t>
            </w:r>
          </w:p>
        </w:tc>
        <w:tc>
          <w:tcPr>
            <w:tcW w:w="151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2,530.53</w:t>
            </w:r>
          </w:p>
        </w:tc>
        <w:tc>
          <w:tcPr>
            <w:tcW w:w="5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总计</w:t>
            </w:r>
          </w:p>
        </w:tc>
        <w:tc>
          <w:tcPr>
            <w:tcW w:w="100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62</w:t>
            </w:r>
          </w:p>
        </w:tc>
        <w:tc>
          <w:tcPr>
            <w:tcW w:w="151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2,530.53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169" w:type="dxa"/>
            <w:gridSpan w:val="6"/>
            <w:tcBorders>
              <w:top w:val="nil"/>
              <w:left w:val="nil"/>
              <w:bottom w:val="nil"/>
              <w:right w:val="nil"/>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注：1</w:t>
            </w:r>
            <w:r>
              <w:rPr>
                <w:rFonts w:hint="eastAsia" w:ascii="宋体" w:hAnsi="宋体" w:eastAsia="宋体" w:cs="宋体"/>
                <w:color w:val="000000"/>
                <w:kern w:val="0"/>
                <w:sz w:val="22"/>
                <w:szCs w:val="22"/>
                <w:highlight w:val="none"/>
                <w:lang w:eastAsia="zh-CN" w:bidi="ar"/>
              </w:rPr>
              <w:t>、</w:t>
            </w:r>
            <w:r>
              <w:rPr>
                <w:rFonts w:hint="default" w:ascii="宋体" w:hAnsi="宋体" w:eastAsia="宋体" w:cs="宋体"/>
                <w:color w:val="000000"/>
                <w:kern w:val="0"/>
                <w:sz w:val="22"/>
                <w:szCs w:val="22"/>
                <w:highlight w:val="none"/>
                <w:lang w:bidi="ar"/>
              </w:rPr>
              <w:t>本表反映</w:t>
            </w:r>
            <w:r>
              <w:rPr>
                <w:rFonts w:hint="eastAsia" w:ascii="宋体" w:hAnsi="宋体" w:eastAsia="宋体" w:cs="宋体"/>
                <w:color w:val="000000"/>
                <w:kern w:val="0"/>
                <w:sz w:val="22"/>
                <w:szCs w:val="22"/>
                <w:highlight w:val="none"/>
                <w:lang w:eastAsia="zh-CN" w:bidi="ar"/>
              </w:rPr>
              <w:t>单位</w:t>
            </w:r>
            <w:r>
              <w:rPr>
                <w:rFonts w:hint="default" w:ascii="宋体" w:hAnsi="宋体" w:eastAsia="宋体" w:cs="宋体"/>
                <w:color w:val="000000"/>
                <w:kern w:val="0"/>
                <w:sz w:val="22"/>
                <w:szCs w:val="22"/>
                <w:highlight w:val="none"/>
                <w:lang w:bidi="ar"/>
              </w:rPr>
              <w:t>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169" w:type="dxa"/>
            <w:gridSpan w:val="6"/>
            <w:tcBorders>
              <w:top w:val="nil"/>
              <w:left w:val="nil"/>
              <w:bottom w:val="nil"/>
              <w:right w:val="nil"/>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2</w:t>
            </w:r>
            <w:r>
              <w:rPr>
                <w:rFonts w:hint="eastAsia" w:ascii="宋体" w:hAnsi="宋体" w:eastAsia="宋体" w:cs="宋体"/>
                <w:color w:val="000000"/>
                <w:kern w:val="0"/>
                <w:sz w:val="22"/>
                <w:szCs w:val="22"/>
                <w:highlight w:val="none"/>
                <w:lang w:eastAsia="zh-CN" w:bidi="ar"/>
              </w:rPr>
              <w:t>、</w:t>
            </w:r>
            <w:r>
              <w:rPr>
                <w:rFonts w:hint="default" w:ascii="宋体" w:hAnsi="宋体" w:eastAsia="宋体" w:cs="宋体"/>
                <w:color w:val="000000"/>
                <w:kern w:val="0"/>
                <w:sz w:val="22"/>
                <w:szCs w:val="22"/>
                <w:highlight w:val="none"/>
                <w:lang w:bidi="ar"/>
              </w:rPr>
              <w:t>本套报表金额单位转换时可能存在尾数误差。</w:t>
            </w:r>
          </w:p>
        </w:tc>
      </w:tr>
    </w:tbl>
    <w:p>
      <w:pPr>
        <w:spacing w:beforeLines="0" w:afterLines="0"/>
        <w:rPr>
          <w:rFonts w:hint="eastAsia"/>
          <w:sz w:val="21"/>
          <w:szCs w:val="22"/>
          <w:highlight w:val="none"/>
        </w:rPr>
        <w:sectPr>
          <w:pgSz w:w="16840" w:h="11900" w:orient="landscape"/>
          <w:pgMar w:top="1083" w:right="403" w:bottom="1083" w:left="403" w:header="0" w:footer="0" w:gutter="0"/>
          <w:lnNumType w:countBy="0" w:distance="360"/>
          <w:cols w:space="720" w:num="1"/>
          <w:docGrid w:type="lines" w:linePitch="312" w:charSpace="0"/>
        </w:sectPr>
      </w:pPr>
    </w:p>
    <w:p>
      <w:pPr>
        <w:spacing w:beforeLines="0" w:afterLines="0"/>
        <w:rPr>
          <w:rFonts w:hint="eastAsia"/>
          <w:sz w:val="21"/>
          <w:szCs w:val="22"/>
          <w:highlight w:val="none"/>
        </w:rPr>
      </w:pPr>
    </w:p>
    <w:tbl>
      <w:tblPr>
        <w:tblStyle w:val="9"/>
        <w:tblW w:w="16154"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29"/>
        <w:gridCol w:w="329"/>
        <w:gridCol w:w="328"/>
        <w:gridCol w:w="4682"/>
        <w:gridCol w:w="1638"/>
        <w:gridCol w:w="1638"/>
        <w:gridCol w:w="1441"/>
        <w:gridCol w:w="1442"/>
        <w:gridCol w:w="1442"/>
        <w:gridCol w:w="1442"/>
        <w:gridCol w:w="1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6154" w:type="dxa"/>
            <w:gridSpan w:val="11"/>
            <w:tcBorders>
              <w:top w:val="nil"/>
              <w:left w:val="nil"/>
              <w:bottom w:val="nil"/>
              <w:right w:val="nil"/>
              <w:tl2br w:val="nil"/>
              <w:tr2bl w:val="nil"/>
            </w:tcBorders>
            <w:shd w:val="clear" w:color="auto" w:fill="FFFFFF"/>
            <w:vAlign w:val="center"/>
          </w:tcPr>
          <w:p>
            <w:pPr>
              <w:widowControl/>
              <w:spacing w:beforeLines="0" w:afterLines="0"/>
              <w:jc w:val="center"/>
              <w:textAlignment w:val="center"/>
              <w:rPr>
                <w:rFonts w:hint="eastAsia" w:ascii="黑体" w:hAnsi="宋体" w:eastAsia="黑体" w:cs="黑体"/>
                <w:color w:val="000000"/>
                <w:sz w:val="30"/>
                <w:szCs w:val="30"/>
                <w:highlight w:val="none"/>
              </w:rPr>
            </w:pPr>
            <w:r>
              <w:rPr>
                <w:rFonts w:hint="eastAsia" w:ascii="黑体" w:hAnsi="宋体" w:eastAsia="黑体" w:cs="黑体"/>
                <w:color w:val="000000"/>
                <w:kern w:val="0"/>
                <w:sz w:val="30"/>
                <w:szCs w:val="30"/>
                <w:highlight w:val="none"/>
                <w:lang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9"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329"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328"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4682"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638"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638"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441"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442"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442"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2885" w:type="dxa"/>
            <w:gridSpan w:val="2"/>
            <w:tcBorders>
              <w:top w:val="nil"/>
              <w:left w:val="nil"/>
              <w:bottom w:val="nil"/>
              <w:right w:val="nil"/>
              <w:tl2br w:val="nil"/>
              <w:tr2bl w:val="nil"/>
            </w:tcBorders>
            <w:shd w:val="clear" w:color="auto" w:fill="FFFFFF"/>
            <w:vAlign w:val="center"/>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269" w:type="dxa"/>
            <w:gridSpan w:val="9"/>
            <w:tcBorders>
              <w:top w:val="nil"/>
              <w:left w:val="nil"/>
              <w:bottom w:val="nil"/>
              <w:right w:val="nil"/>
              <w:tl2br w:val="nil"/>
              <w:tr2bl w:val="nil"/>
            </w:tcBorders>
            <w:shd w:val="clear" w:color="auto" w:fill="FFFFFF"/>
            <w:vAlign w:val="bottom"/>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单位：湖南省市场监管事务中心</w:t>
            </w:r>
          </w:p>
        </w:tc>
        <w:tc>
          <w:tcPr>
            <w:tcW w:w="2885" w:type="dxa"/>
            <w:gridSpan w:val="2"/>
            <w:tcBorders>
              <w:top w:val="nil"/>
              <w:left w:val="nil"/>
              <w:bottom w:val="nil"/>
              <w:right w:val="nil"/>
              <w:tl2br w:val="nil"/>
              <w:tr2bl w:val="nil"/>
            </w:tcBorders>
            <w:shd w:val="clear" w:color="auto" w:fill="FFFFFF"/>
            <w:vAlign w:val="center"/>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668" w:type="dxa"/>
            <w:gridSpan w:val="4"/>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项目</w:t>
            </w:r>
          </w:p>
        </w:tc>
        <w:tc>
          <w:tcPr>
            <w:tcW w:w="1638"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本年收入合计</w:t>
            </w:r>
          </w:p>
        </w:tc>
        <w:tc>
          <w:tcPr>
            <w:tcW w:w="1638"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财政拨款收入</w:t>
            </w:r>
          </w:p>
        </w:tc>
        <w:tc>
          <w:tcPr>
            <w:tcW w:w="1441"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上级补助收入</w:t>
            </w:r>
          </w:p>
        </w:tc>
        <w:tc>
          <w:tcPr>
            <w:tcW w:w="14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事业收入</w:t>
            </w:r>
          </w:p>
        </w:tc>
        <w:tc>
          <w:tcPr>
            <w:tcW w:w="14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经营收入</w:t>
            </w:r>
          </w:p>
        </w:tc>
        <w:tc>
          <w:tcPr>
            <w:tcW w:w="14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附属单位上缴收入</w:t>
            </w:r>
          </w:p>
        </w:tc>
        <w:tc>
          <w:tcPr>
            <w:tcW w:w="1443"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功能分类科目编码</w:t>
            </w:r>
          </w:p>
        </w:tc>
        <w:tc>
          <w:tcPr>
            <w:tcW w:w="468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科目名称</w:t>
            </w:r>
          </w:p>
        </w:tc>
        <w:tc>
          <w:tcPr>
            <w:tcW w:w="163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3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441"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4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4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4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443"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468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3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3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441"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4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4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4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443"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468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3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3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441"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4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4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4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443"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668" w:type="dxa"/>
            <w:gridSpan w:val="4"/>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栏次</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668" w:type="dxa"/>
            <w:gridSpan w:val="4"/>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合计</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2,490.66</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2,490.66</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0.00</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201</w:t>
            </w:r>
          </w:p>
        </w:tc>
        <w:tc>
          <w:tcPr>
            <w:tcW w:w="468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一般公共服务支出</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2,222.87</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2,222.87</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20138</w:t>
            </w:r>
          </w:p>
        </w:tc>
        <w:tc>
          <w:tcPr>
            <w:tcW w:w="468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市场监督管理事务</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2,222.87</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2,222.87</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2013850</w:t>
            </w:r>
          </w:p>
        </w:tc>
        <w:tc>
          <w:tcPr>
            <w:tcW w:w="468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事业运行</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2,177.87</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2,177.87</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2013899</w:t>
            </w:r>
          </w:p>
        </w:tc>
        <w:tc>
          <w:tcPr>
            <w:tcW w:w="468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其他市场监督管理事务</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45.00</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45.00</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w:t>
            </w:r>
          </w:p>
        </w:tc>
        <w:tc>
          <w:tcPr>
            <w:tcW w:w="468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社会保障和就业支出</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134.62</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134.62</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20805</w:t>
            </w:r>
          </w:p>
        </w:tc>
        <w:tc>
          <w:tcPr>
            <w:tcW w:w="468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行政事业单位养老支出</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124.28</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124.28</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2080502</w:t>
            </w:r>
          </w:p>
        </w:tc>
        <w:tc>
          <w:tcPr>
            <w:tcW w:w="468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事业单位离退休</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50.50</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50.50</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2080505</w:t>
            </w:r>
          </w:p>
        </w:tc>
        <w:tc>
          <w:tcPr>
            <w:tcW w:w="468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机关事业单位基本养老保险缴费支出</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73.78</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73.78</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20899</w:t>
            </w:r>
          </w:p>
        </w:tc>
        <w:tc>
          <w:tcPr>
            <w:tcW w:w="468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其他社会保障和就业支出</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10.34</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10.34</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2089999</w:t>
            </w:r>
          </w:p>
        </w:tc>
        <w:tc>
          <w:tcPr>
            <w:tcW w:w="468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其他社会保障和就业支出</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10.34</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10.34</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210</w:t>
            </w:r>
          </w:p>
        </w:tc>
        <w:tc>
          <w:tcPr>
            <w:tcW w:w="468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卫生健康支出</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47.05</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47.05</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21011</w:t>
            </w:r>
          </w:p>
        </w:tc>
        <w:tc>
          <w:tcPr>
            <w:tcW w:w="468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行政事业单位医疗</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47.05</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47.05</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2101102</w:t>
            </w:r>
          </w:p>
        </w:tc>
        <w:tc>
          <w:tcPr>
            <w:tcW w:w="468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事业单位医疗</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47.05</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47.05</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221</w:t>
            </w:r>
          </w:p>
        </w:tc>
        <w:tc>
          <w:tcPr>
            <w:tcW w:w="468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住房保障支出</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22102</w:t>
            </w:r>
          </w:p>
        </w:tc>
        <w:tc>
          <w:tcPr>
            <w:tcW w:w="468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住房改革支出</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2210201</w:t>
            </w:r>
          </w:p>
        </w:tc>
        <w:tc>
          <w:tcPr>
            <w:tcW w:w="468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住房公积金</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163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14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4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154" w:type="dxa"/>
            <w:gridSpan w:val="11"/>
            <w:tcBorders>
              <w:top w:val="nil"/>
              <w:left w:val="nil"/>
              <w:bottom w:val="nil"/>
              <w:right w:val="nil"/>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注：本表反映</w:t>
            </w:r>
            <w:r>
              <w:rPr>
                <w:rFonts w:hint="eastAsia" w:ascii="宋体" w:hAnsi="宋体" w:eastAsia="宋体" w:cs="宋体"/>
                <w:color w:val="000000"/>
                <w:kern w:val="0"/>
                <w:sz w:val="22"/>
                <w:szCs w:val="22"/>
                <w:highlight w:val="none"/>
                <w:lang w:eastAsia="zh-CN" w:bidi="ar"/>
              </w:rPr>
              <w:t>单位</w:t>
            </w:r>
            <w:r>
              <w:rPr>
                <w:rFonts w:hint="default" w:ascii="宋体" w:hAnsi="宋体" w:eastAsia="宋体" w:cs="宋体"/>
                <w:color w:val="000000"/>
                <w:kern w:val="0"/>
                <w:sz w:val="22"/>
                <w:szCs w:val="22"/>
                <w:highlight w:val="none"/>
                <w:lang w:bidi="ar"/>
              </w:rPr>
              <w:t>本年度取得的各项收入情况。</w:t>
            </w:r>
          </w:p>
        </w:tc>
      </w:tr>
    </w:tbl>
    <w:p>
      <w:pPr>
        <w:spacing w:beforeLines="0" w:afterLines="0"/>
        <w:rPr>
          <w:rFonts w:hint="eastAsia"/>
          <w:sz w:val="21"/>
          <w:szCs w:val="22"/>
          <w:highlight w:val="none"/>
        </w:rPr>
        <w:sectPr>
          <w:pgSz w:w="16840" w:h="11900" w:orient="landscape"/>
          <w:pgMar w:top="1083" w:right="403" w:bottom="1083" w:left="403" w:header="0" w:footer="0" w:gutter="0"/>
          <w:lnNumType w:countBy="0" w:distance="360"/>
          <w:cols w:space="720" w:num="1"/>
          <w:docGrid w:type="lines" w:linePitch="312" w:charSpace="0"/>
        </w:sectPr>
      </w:pPr>
    </w:p>
    <w:p>
      <w:pPr>
        <w:spacing w:beforeLines="0" w:afterLines="0"/>
        <w:rPr>
          <w:rFonts w:hint="eastAsia"/>
          <w:sz w:val="21"/>
          <w:szCs w:val="22"/>
          <w:highlight w:val="none"/>
        </w:rPr>
      </w:pPr>
    </w:p>
    <w:tbl>
      <w:tblPr>
        <w:tblStyle w:val="9"/>
        <w:tblW w:w="1616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80"/>
        <w:gridCol w:w="381"/>
        <w:gridCol w:w="380"/>
        <w:gridCol w:w="5308"/>
        <w:gridCol w:w="1620"/>
        <w:gridCol w:w="1620"/>
        <w:gridCol w:w="1620"/>
        <w:gridCol w:w="1620"/>
        <w:gridCol w:w="1620"/>
        <w:gridCol w:w="1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6169" w:type="dxa"/>
            <w:gridSpan w:val="10"/>
            <w:tcBorders>
              <w:top w:val="nil"/>
              <w:left w:val="nil"/>
              <w:bottom w:val="nil"/>
              <w:right w:val="nil"/>
              <w:tl2br w:val="nil"/>
              <w:tr2bl w:val="nil"/>
            </w:tcBorders>
            <w:shd w:val="clear" w:color="auto" w:fill="FFFFFF"/>
            <w:vAlign w:val="center"/>
          </w:tcPr>
          <w:p>
            <w:pPr>
              <w:widowControl/>
              <w:spacing w:beforeLines="0" w:afterLines="0"/>
              <w:jc w:val="center"/>
              <w:textAlignment w:val="center"/>
              <w:rPr>
                <w:rFonts w:hint="eastAsia" w:ascii="黑体" w:hAnsi="宋体" w:eastAsia="黑体" w:cs="黑体"/>
                <w:color w:val="000000"/>
                <w:sz w:val="30"/>
                <w:szCs w:val="30"/>
                <w:highlight w:val="none"/>
              </w:rPr>
            </w:pPr>
            <w:r>
              <w:rPr>
                <w:rFonts w:hint="eastAsia" w:ascii="黑体" w:hAnsi="宋体" w:eastAsia="黑体" w:cs="黑体"/>
                <w:color w:val="000000"/>
                <w:kern w:val="0"/>
                <w:sz w:val="30"/>
                <w:szCs w:val="30"/>
                <w:highlight w:val="none"/>
                <w:lang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80"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381"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380"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5308"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620"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620"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620"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620"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3240" w:type="dxa"/>
            <w:gridSpan w:val="2"/>
            <w:tcBorders>
              <w:top w:val="nil"/>
              <w:left w:val="nil"/>
              <w:bottom w:val="nil"/>
              <w:right w:val="nil"/>
              <w:tl2br w:val="nil"/>
              <w:tr2bl w:val="nil"/>
            </w:tcBorders>
            <w:shd w:val="clear" w:color="auto" w:fill="FFFFFF"/>
            <w:vAlign w:val="center"/>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929" w:type="dxa"/>
            <w:gridSpan w:val="8"/>
            <w:tcBorders>
              <w:top w:val="nil"/>
              <w:left w:val="nil"/>
              <w:bottom w:val="nil"/>
              <w:right w:val="nil"/>
              <w:tl2br w:val="nil"/>
              <w:tr2bl w:val="nil"/>
            </w:tcBorders>
            <w:shd w:val="clear" w:color="auto" w:fill="FFFFFF"/>
            <w:vAlign w:val="bottom"/>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单位：湖南省市场监管事务中心</w:t>
            </w:r>
          </w:p>
        </w:tc>
        <w:tc>
          <w:tcPr>
            <w:tcW w:w="3240" w:type="dxa"/>
            <w:gridSpan w:val="2"/>
            <w:tcBorders>
              <w:top w:val="nil"/>
              <w:left w:val="nil"/>
              <w:bottom w:val="nil"/>
              <w:right w:val="nil"/>
              <w:tl2br w:val="nil"/>
              <w:tr2bl w:val="nil"/>
            </w:tcBorders>
            <w:shd w:val="clear" w:color="auto" w:fill="FFFFFF"/>
            <w:vAlign w:val="center"/>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449" w:type="dxa"/>
            <w:gridSpan w:val="4"/>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项目</w:t>
            </w:r>
          </w:p>
        </w:tc>
        <w:tc>
          <w:tcPr>
            <w:tcW w:w="162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本年支出合计</w:t>
            </w:r>
          </w:p>
        </w:tc>
        <w:tc>
          <w:tcPr>
            <w:tcW w:w="162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基本支出</w:t>
            </w:r>
          </w:p>
        </w:tc>
        <w:tc>
          <w:tcPr>
            <w:tcW w:w="162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项目支出</w:t>
            </w:r>
          </w:p>
        </w:tc>
        <w:tc>
          <w:tcPr>
            <w:tcW w:w="162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上缴上级支出</w:t>
            </w:r>
          </w:p>
        </w:tc>
        <w:tc>
          <w:tcPr>
            <w:tcW w:w="162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经营支出</w:t>
            </w:r>
          </w:p>
        </w:tc>
        <w:tc>
          <w:tcPr>
            <w:tcW w:w="162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功能分类科目编码</w:t>
            </w:r>
          </w:p>
        </w:tc>
        <w:tc>
          <w:tcPr>
            <w:tcW w:w="5308"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科目名称</w:t>
            </w: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530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530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449" w:type="dxa"/>
            <w:gridSpan w:val="4"/>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栏次</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449" w:type="dxa"/>
            <w:gridSpan w:val="4"/>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合计</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2,353.45</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2,290.43</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63.02</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201</w:t>
            </w:r>
          </w:p>
        </w:tc>
        <w:tc>
          <w:tcPr>
            <w:tcW w:w="530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一般公共服务支出</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2,112.44</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2,049.42</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63.02</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1141"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20138</w:t>
            </w:r>
          </w:p>
        </w:tc>
        <w:tc>
          <w:tcPr>
            <w:tcW w:w="530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市场监督管理事务</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2,112.44</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2,049.42</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63.02</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2013850</w:t>
            </w:r>
          </w:p>
        </w:tc>
        <w:tc>
          <w:tcPr>
            <w:tcW w:w="530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事业运行</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2,039.17</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eastAsia" w:ascii="宋体" w:hAnsi="宋体" w:eastAsia="宋体" w:cs="宋体"/>
                <w:color w:val="000000"/>
                <w:sz w:val="22"/>
                <w:szCs w:val="22"/>
                <w:highlight w:val="none"/>
                <w:lang w:val="en-US" w:eastAsia="zh-CN"/>
              </w:rPr>
            </w:pPr>
            <w:r>
              <w:rPr>
                <w:rFonts w:hint="default" w:ascii="宋体" w:hAnsi="宋体" w:eastAsia="宋体" w:cs="宋体"/>
                <w:color w:val="000000"/>
                <w:kern w:val="0"/>
                <w:sz w:val="22"/>
                <w:szCs w:val="22"/>
                <w:highlight w:val="none"/>
                <w:lang w:bidi="ar"/>
              </w:rPr>
              <w:t>2,004.4</w:t>
            </w:r>
            <w:r>
              <w:rPr>
                <w:rFonts w:hint="eastAsia" w:ascii="宋体" w:hAnsi="宋体" w:eastAsia="宋体" w:cs="宋体"/>
                <w:color w:val="000000"/>
                <w:kern w:val="0"/>
                <w:sz w:val="22"/>
                <w:szCs w:val="22"/>
                <w:highlight w:val="none"/>
                <w:lang w:val="en-US" w:eastAsia="zh-CN" w:bidi="ar"/>
              </w:rPr>
              <w:t>1</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34.76</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2013899</w:t>
            </w:r>
          </w:p>
        </w:tc>
        <w:tc>
          <w:tcPr>
            <w:tcW w:w="530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其他市场监督管理事务</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73.26</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45.00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28.26</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w:t>
            </w:r>
          </w:p>
        </w:tc>
        <w:tc>
          <w:tcPr>
            <w:tcW w:w="530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社会保障和就业支出</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110.63</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110.63</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20805</w:t>
            </w:r>
          </w:p>
        </w:tc>
        <w:tc>
          <w:tcPr>
            <w:tcW w:w="530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行政事业单位养老支出</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100.29</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100.29</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2080502</w:t>
            </w:r>
          </w:p>
        </w:tc>
        <w:tc>
          <w:tcPr>
            <w:tcW w:w="530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事业单位离退休</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36.37</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36.37</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2080505</w:t>
            </w:r>
          </w:p>
        </w:tc>
        <w:tc>
          <w:tcPr>
            <w:tcW w:w="530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机关事业单位基本养老保险缴费支出</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63.92</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63.92</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20899</w:t>
            </w:r>
          </w:p>
        </w:tc>
        <w:tc>
          <w:tcPr>
            <w:tcW w:w="530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其他社会保障和就业支出</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10.34</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10.34</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2089999</w:t>
            </w:r>
          </w:p>
        </w:tc>
        <w:tc>
          <w:tcPr>
            <w:tcW w:w="530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其他社会保障和就业支出</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10.34</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10.34</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210</w:t>
            </w:r>
          </w:p>
        </w:tc>
        <w:tc>
          <w:tcPr>
            <w:tcW w:w="530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卫生健康支出</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44.26</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44.26</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21011</w:t>
            </w:r>
          </w:p>
        </w:tc>
        <w:tc>
          <w:tcPr>
            <w:tcW w:w="530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行政事业单位医疗</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44.26</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44.26</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2101102</w:t>
            </w:r>
          </w:p>
        </w:tc>
        <w:tc>
          <w:tcPr>
            <w:tcW w:w="530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事业单位医疗</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44.26</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44.26</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221</w:t>
            </w:r>
          </w:p>
        </w:tc>
        <w:tc>
          <w:tcPr>
            <w:tcW w:w="530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住房保障支出</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22102</w:t>
            </w:r>
          </w:p>
        </w:tc>
        <w:tc>
          <w:tcPr>
            <w:tcW w:w="530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住房改革支出</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1"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2210201</w:t>
            </w:r>
          </w:p>
        </w:tc>
        <w:tc>
          <w:tcPr>
            <w:tcW w:w="530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住房公积金</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169" w:type="dxa"/>
            <w:gridSpan w:val="10"/>
            <w:tcBorders>
              <w:top w:val="nil"/>
              <w:left w:val="nil"/>
              <w:bottom w:val="nil"/>
              <w:right w:val="nil"/>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注：</w:t>
            </w:r>
            <w:r>
              <w:rPr>
                <w:rFonts w:hint="default" w:ascii="宋体" w:hAnsi="宋体" w:eastAsia="宋体" w:cs="宋体"/>
                <w:color w:val="000000"/>
                <w:kern w:val="0"/>
                <w:sz w:val="22"/>
                <w:szCs w:val="22"/>
                <w:highlight w:val="none"/>
                <w:lang w:val="en" w:bidi="ar"/>
              </w:rPr>
              <w:t>1、</w:t>
            </w:r>
            <w:r>
              <w:rPr>
                <w:rFonts w:hint="default" w:ascii="宋体" w:hAnsi="宋体" w:eastAsia="宋体" w:cs="宋体"/>
                <w:color w:val="000000"/>
                <w:kern w:val="0"/>
                <w:sz w:val="22"/>
                <w:szCs w:val="22"/>
                <w:highlight w:val="none"/>
                <w:lang w:bidi="ar"/>
              </w:rPr>
              <w:t>本表反映</w:t>
            </w:r>
            <w:r>
              <w:rPr>
                <w:rFonts w:hint="eastAsia" w:ascii="宋体" w:hAnsi="宋体" w:eastAsia="宋体" w:cs="宋体"/>
                <w:color w:val="000000"/>
                <w:kern w:val="0"/>
                <w:sz w:val="22"/>
                <w:szCs w:val="22"/>
                <w:highlight w:val="none"/>
                <w:lang w:eastAsia="zh-CN" w:bidi="ar"/>
              </w:rPr>
              <w:t>单位</w:t>
            </w:r>
            <w:r>
              <w:rPr>
                <w:rFonts w:hint="default" w:ascii="宋体" w:hAnsi="宋体" w:eastAsia="宋体" w:cs="宋体"/>
                <w:color w:val="000000"/>
                <w:kern w:val="0"/>
                <w:sz w:val="22"/>
                <w:szCs w:val="22"/>
                <w:highlight w:val="none"/>
                <w:lang w:bidi="ar"/>
              </w:rPr>
              <w:t>本年度各项支出情况。</w:t>
            </w:r>
          </w:p>
          <w:p>
            <w:pPr>
              <w:widowControl/>
              <w:spacing w:beforeLines="0" w:afterLines="0"/>
              <w:jc w:val="left"/>
              <w:textAlignment w:val="center"/>
              <w:rPr>
                <w:rFonts w:hint="default" w:ascii="宋体" w:hAnsi="宋体" w:eastAsia="宋体" w:cs="宋体"/>
                <w:color w:val="000000"/>
                <w:kern w:val="0"/>
                <w:sz w:val="22"/>
                <w:szCs w:val="22"/>
                <w:highlight w:val="yellow"/>
                <w:lang w:val="en" w:bidi="ar"/>
              </w:rPr>
            </w:pPr>
            <w:r>
              <w:rPr>
                <w:rFonts w:hint="default" w:ascii="宋体" w:hAnsi="宋体" w:eastAsia="宋体" w:cs="宋体"/>
                <w:color w:val="000000"/>
                <w:kern w:val="0"/>
                <w:sz w:val="22"/>
                <w:szCs w:val="22"/>
                <w:highlight w:val="none"/>
                <w:lang w:val="en" w:bidi="ar"/>
              </w:rPr>
              <w:t xml:space="preserve">   </w:t>
            </w:r>
            <w:r>
              <w:rPr>
                <w:rFonts w:hint="default" w:ascii="宋体" w:hAnsi="宋体" w:eastAsia="宋体" w:cs="宋体"/>
                <w:color w:val="000000"/>
                <w:kern w:val="0"/>
                <w:sz w:val="22"/>
                <w:szCs w:val="22"/>
                <w:highlight w:val="none"/>
                <w:lang w:bidi="ar"/>
              </w:rPr>
              <w:t xml:space="preserve"> 2</w:t>
            </w:r>
            <w:r>
              <w:rPr>
                <w:rFonts w:hint="eastAsia" w:ascii="宋体" w:hAnsi="宋体" w:eastAsia="宋体" w:cs="宋体"/>
                <w:color w:val="000000"/>
                <w:kern w:val="0"/>
                <w:sz w:val="22"/>
                <w:szCs w:val="22"/>
                <w:highlight w:val="none"/>
                <w:lang w:eastAsia="zh-CN" w:bidi="ar"/>
              </w:rPr>
              <w:t>、</w:t>
            </w:r>
            <w:r>
              <w:rPr>
                <w:rFonts w:hint="default" w:ascii="宋体" w:hAnsi="宋体" w:eastAsia="宋体" w:cs="宋体"/>
                <w:color w:val="000000"/>
                <w:kern w:val="0"/>
                <w:sz w:val="22"/>
                <w:szCs w:val="22"/>
                <w:highlight w:val="none"/>
                <w:lang w:bidi="ar"/>
              </w:rPr>
              <w:t>本套报表金额单位转换时可能存在尾数误差。</w:t>
            </w:r>
          </w:p>
        </w:tc>
      </w:tr>
    </w:tbl>
    <w:p>
      <w:pPr>
        <w:spacing w:beforeLines="0" w:afterLines="0"/>
        <w:rPr>
          <w:rFonts w:hint="eastAsia"/>
          <w:sz w:val="21"/>
          <w:szCs w:val="22"/>
          <w:highlight w:val="none"/>
        </w:rPr>
        <w:sectPr>
          <w:pgSz w:w="16840" w:h="11900" w:orient="landscape"/>
          <w:pgMar w:top="1083" w:right="403" w:bottom="1083" w:left="403" w:header="0" w:footer="0" w:gutter="0"/>
          <w:lnNumType w:countBy="0" w:distance="360"/>
          <w:cols w:space="720" w:num="1"/>
          <w:docGrid w:type="lines" w:linePitch="312" w:charSpace="0"/>
        </w:sectPr>
      </w:pPr>
    </w:p>
    <w:p>
      <w:pPr>
        <w:spacing w:beforeLines="0" w:afterLines="0"/>
        <w:rPr>
          <w:rFonts w:hint="eastAsia"/>
          <w:sz w:val="21"/>
          <w:szCs w:val="22"/>
          <w:highlight w:val="none"/>
        </w:rPr>
      </w:pPr>
    </w:p>
    <w:tbl>
      <w:tblPr>
        <w:tblStyle w:val="9"/>
        <w:tblW w:w="150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10"/>
        <w:gridCol w:w="515"/>
        <w:gridCol w:w="1518"/>
        <w:gridCol w:w="3531"/>
        <w:gridCol w:w="515"/>
        <w:gridCol w:w="990"/>
        <w:gridCol w:w="1518"/>
        <w:gridCol w:w="1519"/>
        <w:gridCol w:w="1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5036" w:type="dxa"/>
            <w:gridSpan w:val="9"/>
            <w:tcBorders>
              <w:top w:val="nil"/>
              <w:left w:val="nil"/>
              <w:bottom w:val="nil"/>
              <w:right w:val="nil"/>
              <w:tl2br w:val="nil"/>
              <w:tr2bl w:val="nil"/>
            </w:tcBorders>
            <w:shd w:val="clear" w:color="auto" w:fill="FFFFFF"/>
            <w:vAlign w:val="center"/>
          </w:tcPr>
          <w:p>
            <w:pPr>
              <w:widowControl/>
              <w:spacing w:beforeLines="0" w:afterLines="0"/>
              <w:jc w:val="center"/>
              <w:textAlignment w:val="center"/>
              <w:rPr>
                <w:rFonts w:hint="eastAsia" w:ascii="黑体" w:hAnsi="宋体" w:eastAsia="黑体" w:cs="黑体"/>
                <w:color w:val="000000"/>
                <w:sz w:val="30"/>
                <w:szCs w:val="30"/>
                <w:highlight w:val="none"/>
              </w:rPr>
            </w:pPr>
            <w:r>
              <w:rPr>
                <w:rFonts w:hint="eastAsia" w:ascii="黑体" w:hAnsi="宋体" w:eastAsia="黑体" w:cs="黑体"/>
                <w:color w:val="000000"/>
                <w:kern w:val="0"/>
                <w:sz w:val="30"/>
                <w:szCs w:val="30"/>
                <w:highlight w:val="none"/>
                <w:lang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10"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515"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518"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3531"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515"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990"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518"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3139" w:type="dxa"/>
            <w:gridSpan w:val="2"/>
            <w:tcBorders>
              <w:top w:val="nil"/>
              <w:left w:val="nil"/>
              <w:bottom w:val="nil"/>
              <w:right w:val="nil"/>
              <w:tl2br w:val="nil"/>
              <w:tr2bl w:val="nil"/>
            </w:tcBorders>
            <w:shd w:val="clear" w:color="auto" w:fill="FFFFFF"/>
            <w:vAlign w:val="center"/>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897" w:type="dxa"/>
            <w:gridSpan w:val="7"/>
            <w:tcBorders>
              <w:top w:val="nil"/>
              <w:left w:val="nil"/>
              <w:bottom w:val="nil"/>
              <w:right w:val="nil"/>
              <w:tl2br w:val="nil"/>
              <w:tr2bl w:val="nil"/>
            </w:tcBorders>
            <w:shd w:val="clear" w:color="auto" w:fill="FFFFFF"/>
            <w:vAlign w:val="bottom"/>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单位：湖南省市场监管事务中心</w:t>
            </w:r>
          </w:p>
        </w:tc>
        <w:tc>
          <w:tcPr>
            <w:tcW w:w="3139" w:type="dxa"/>
            <w:gridSpan w:val="2"/>
            <w:tcBorders>
              <w:top w:val="nil"/>
              <w:left w:val="nil"/>
              <w:bottom w:val="nil"/>
              <w:right w:val="nil"/>
              <w:tl2br w:val="nil"/>
              <w:tr2bl w:val="nil"/>
            </w:tcBorders>
            <w:shd w:val="clear" w:color="auto" w:fill="FFFFFF"/>
            <w:vAlign w:val="center"/>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343"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收     入</w:t>
            </w:r>
          </w:p>
        </w:tc>
        <w:tc>
          <w:tcPr>
            <w:tcW w:w="9693" w:type="dxa"/>
            <w:gridSpan w:val="6"/>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31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项目</w:t>
            </w:r>
          </w:p>
        </w:tc>
        <w:tc>
          <w:tcPr>
            <w:tcW w:w="515"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行次</w:t>
            </w:r>
          </w:p>
        </w:tc>
        <w:tc>
          <w:tcPr>
            <w:tcW w:w="1518"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金额</w:t>
            </w:r>
          </w:p>
        </w:tc>
        <w:tc>
          <w:tcPr>
            <w:tcW w:w="3531"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项目</w:t>
            </w:r>
          </w:p>
        </w:tc>
        <w:tc>
          <w:tcPr>
            <w:tcW w:w="515"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行次</w:t>
            </w:r>
          </w:p>
        </w:tc>
        <w:tc>
          <w:tcPr>
            <w:tcW w:w="9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合计</w:t>
            </w:r>
          </w:p>
        </w:tc>
        <w:tc>
          <w:tcPr>
            <w:tcW w:w="1518"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一般公共预算财政拨款</w:t>
            </w:r>
          </w:p>
        </w:tc>
        <w:tc>
          <w:tcPr>
            <w:tcW w:w="1519"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政府性基金预算财政拨款</w:t>
            </w:r>
          </w:p>
        </w:tc>
        <w:tc>
          <w:tcPr>
            <w:tcW w:w="162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31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515"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51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3531"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515"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9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51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519"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62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栏次</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center"/>
              <w:rPr>
                <w:rFonts w:hint="default" w:ascii="宋体" w:hAnsi="宋体" w:eastAsia="宋体" w:cs="宋体"/>
                <w:color w:val="000000"/>
                <w:sz w:val="22"/>
                <w:szCs w:val="22"/>
                <w:highlight w:val="none"/>
              </w:rPr>
            </w:pP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w:t>
            </w: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栏次</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center"/>
              <w:rPr>
                <w:rFonts w:hint="default" w:ascii="宋体" w:hAnsi="宋体" w:eastAsia="宋体" w:cs="宋体"/>
                <w:color w:val="000000"/>
                <w:sz w:val="22"/>
                <w:szCs w:val="22"/>
                <w:highlight w:val="none"/>
              </w:rPr>
            </w:pP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一、一般公共预算财政拨款</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2,490.66</w:t>
            </w: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一、一般公共服务支出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33</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2,112.44</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2,112.44</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二、政府性基金预算财政拨款</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二、外交支出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34</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三、国有资本经营预算财政拨款</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三、国防支出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35</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四、公共安全支出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36</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五、教育支出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37</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六、科学技术支出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38</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7</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七、文化旅游体育与传媒支出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39</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八、社会保障和就业支出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40</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110.63</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110.63</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9</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九、卫生健康支出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41</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44.26</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44.26</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十、节能环保支出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42</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11</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十一、城乡社区支出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43</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12</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十二、农林水支出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13</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十三、交通运输支出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45</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14</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十四、资源勘探工业信息等支出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46</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15</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十五、商业服务业等支出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47</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16</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十六、金融支出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48</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17</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十七、援助其他地区支出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49</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18</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十八、自然资源海洋气象等支出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50</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19</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十九、住房保障支出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51</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二十、粮油物资储备支出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52</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二十一、国有资本经营预算支出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53</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22</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二十二、灾害防治及应急管理支出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54</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23</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二十三、其他支出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55</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center"/>
              <w:rPr>
                <w:rFonts w:hint="default" w:ascii="宋体" w:hAnsi="宋体" w:eastAsia="宋体" w:cs="宋体"/>
                <w:b/>
                <w:color w:val="000000"/>
                <w:sz w:val="20"/>
                <w:szCs w:val="20"/>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24</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二十四、债务还本支出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56</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0"/>
                <w:szCs w:val="20"/>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25</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二十五、债务付息支出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57</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0"/>
                <w:szCs w:val="20"/>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26</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二十六、抗疫特别国债安排的支出</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58</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本年收入合计</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27</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2,490.66</w:t>
            </w: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本年支出合计</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59</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2,353.45</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2,353.45</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年初财政拨款结转和结余</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28</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39.87</w:t>
            </w: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年末财政拨款结转和结余</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60</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177.08</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177.08</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一般公共预算财政拨款</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29</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39.87</w:t>
            </w: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61</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政府性基金预算财政拨款</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62</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国有资本经营预算财政拨款</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63</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总计</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32</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2,530.53</w:t>
            </w:r>
          </w:p>
        </w:tc>
        <w:tc>
          <w:tcPr>
            <w:tcW w:w="353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总计</w:t>
            </w:r>
          </w:p>
        </w:tc>
        <w:tc>
          <w:tcPr>
            <w:tcW w:w="51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64</w:t>
            </w:r>
          </w:p>
        </w:tc>
        <w:tc>
          <w:tcPr>
            <w:tcW w:w="9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2,530.53</w:t>
            </w:r>
          </w:p>
        </w:tc>
        <w:tc>
          <w:tcPr>
            <w:tcW w:w="151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2,530.53</w:t>
            </w:r>
          </w:p>
        </w:tc>
        <w:tc>
          <w:tcPr>
            <w:tcW w:w="151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62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416" w:type="dxa"/>
            <w:gridSpan w:val="8"/>
            <w:tcBorders>
              <w:top w:val="nil"/>
              <w:left w:val="nil"/>
              <w:bottom w:val="nil"/>
              <w:right w:val="nil"/>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注：本表反映</w:t>
            </w:r>
            <w:r>
              <w:rPr>
                <w:rFonts w:hint="eastAsia" w:ascii="宋体" w:hAnsi="宋体" w:eastAsia="宋体" w:cs="宋体"/>
                <w:color w:val="000000"/>
                <w:kern w:val="0"/>
                <w:sz w:val="22"/>
                <w:szCs w:val="22"/>
                <w:highlight w:val="none"/>
                <w:lang w:eastAsia="zh-CN" w:bidi="ar"/>
              </w:rPr>
              <w:t>单位</w:t>
            </w:r>
            <w:r>
              <w:rPr>
                <w:rFonts w:hint="default" w:ascii="宋体" w:hAnsi="宋体" w:eastAsia="宋体" w:cs="宋体"/>
                <w:color w:val="000000"/>
                <w:kern w:val="0"/>
                <w:sz w:val="22"/>
                <w:szCs w:val="22"/>
                <w:highlight w:val="none"/>
                <w:lang w:bidi="ar"/>
              </w:rPr>
              <w:t>本年度一般公共预算财政拨款、政府性基金预算财政拨款和国有资本经营预算财政拨款的总收支和年末结转结余情况。</w:t>
            </w:r>
          </w:p>
        </w:tc>
        <w:tc>
          <w:tcPr>
            <w:tcW w:w="1620" w:type="dxa"/>
            <w:tcBorders>
              <w:top w:val="nil"/>
              <w:left w:val="nil"/>
              <w:bottom w:val="nil"/>
              <w:right w:val="nil"/>
              <w:tl2br w:val="nil"/>
              <w:tr2bl w:val="nil"/>
            </w:tcBorders>
            <w:shd w:val="clear" w:color="auto" w:fill="FFFFFF"/>
            <w:vAlign w:val="center"/>
          </w:tcPr>
          <w:p>
            <w:pPr>
              <w:spacing w:beforeLines="0" w:afterLines="0"/>
              <w:jc w:val="left"/>
              <w:rPr>
                <w:rFonts w:hint="default" w:ascii="宋体" w:hAnsi="宋体" w:eastAsia="宋体" w:cs="宋体"/>
                <w:color w:val="000000"/>
                <w:sz w:val="20"/>
                <w:szCs w:val="20"/>
                <w:highlight w:val="none"/>
              </w:rPr>
            </w:pPr>
          </w:p>
        </w:tc>
      </w:tr>
    </w:tbl>
    <w:p>
      <w:pPr>
        <w:spacing w:beforeLines="0" w:afterLines="0"/>
        <w:rPr>
          <w:rFonts w:hint="eastAsia"/>
          <w:sz w:val="21"/>
          <w:szCs w:val="22"/>
          <w:highlight w:val="none"/>
        </w:rPr>
        <w:sectPr>
          <w:pgSz w:w="16840" w:h="11900" w:orient="landscape"/>
          <w:pgMar w:top="1083" w:right="403" w:bottom="1083" w:left="403" w:header="0" w:footer="0" w:gutter="0"/>
          <w:lnNumType w:countBy="0" w:distance="360"/>
          <w:cols w:space="720" w:num="1"/>
          <w:docGrid w:type="lines" w:linePitch="312" w:charSpace="0"/>
        </w:sectPr>
      </w:pPr>
    </w:p>
    <w:p>
      <w:pPr>
        <w:spacing w:beforeLines="0" w:afterLines="0"/>
        <w:rPr>
          <w:rFonts w:hint="eastAsia"/>
          <w:sz w:val="21"/>
          <w:szCs w:val="22"/>
          <w:highlight w:val="none"/>
        </w:rPr>
      </w:pPr>
    </w:p>
    <w:tbl>
      <w:tblPr>
        <w:tblStyle w:val="9"/>
        <w:tblW w:w="1616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09"/>
        <w:gridCol w:w="609"/>
        <w:gridCol w:w="607"/>
        <w:gridCol w:w="8268"/>
        <w:gridCol w:w="2025"/>
        <w:gridCol w:w="2025"/>
        <w:gridCol w:w="20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6169" w:type="dxa"/>
            <w:gridSpan w:val="7"/>
            <w:tcBorders>
              <w:top w:val="nil"/>
              <w:left w:val="nil"/>
              <w:bottom w:val="nil"/>
              <w:right w:val="nil"/>
              <w:tl2br w:val="nil"/>
              <w:tr2bl w:val="nil"/>
            </w:tcBorders>
            <w:shd w:val="clear" w:color="auto" w:fill="FFFFFF"/>
            <w:vAlign w:val="center"/>
          </w:tcPr>
          <w:p>
            <w:pPr>
              <w:widowControl/>
              <w:spacing w:beforeLines="0" w:afterLines="0"/>
              <w:jc w:val="center"/>
              <w:textAlignment w:val="center"/>
              <w:rPr>
                <w:rFonts w:hint="eastAsia" w:ascii="黑体" w:hAnsi="宋体" w:eastAsia="黑体" w:cs="黑体"/>
                <w:color w:val="000000"/>
                <w:sz w:val="30"/>
                <w:szCs w:val="30"/>
                <w:highlight w:val="none"/>
              </w:rPr>
            </w:pPr>
            <w:r>
              <w:rPr>
                <w:rFonts w:hint="eastAsia" w:ascii="黑体" w:hAnsi="宋体" w:eastAsia="黑体" w:cs="黑体"/>
                <w:color w:val="000000"/>
                <w:kern w:val="0"/>
                <w:sz w:val="30"/>
                <w:szCs w:val="30"/>
                <w:highlight w:val="none"/>
                <w:lang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09"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609"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607"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8268"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2025"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4051" w:type="dxa"/>
            <w:gridSpan w:val="2"/>
            <w:tcBorders>
              <w:top w:val="nil"/>
              <w:left w:val="nil"/>
              <w:bottom w:val="nil"/>
              <w:right w:val="nil"/>
              <w:tl2br w:val="nil"/>
              <w:tr2bl w:val="nil"/>
            </w:tcBorders>
            <w:shd w:val="clear" w:color="auto" w:fill="FFFFFF"/>
            <w:vAlign w:val="center"/>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118" w:type="dxa"/>
            <w:gridSpan w:val="5"/>
            <w:tcBorders>
              <w:top w:val="nil"/>
              <w:left w:val="nil"/>
              <w:bottom w:val="nil"/>
              <w:right w:val="nil"/>
              <w:tl2br w:val="nil"/>
              <w:tr2bl w:val="nil"/>
            </w:tcBorders>
            <w:shd w:val="clear" w:color="auto" w:fill="FFFFFF"/>
            <w:vAlign w:val="bottom"/>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单位：湖南省市场监管事务中心</w:t>
            </w:r>
          </w:p>
        </w:tc>
        <w:tc>
          <w:tcPr>
            <w:tcW w:w="4051" w:type="dxa"/>
            <w:gridSpan w:val="2"/>
            <w:tcBorders>
              <w:top w:val="nil"/>
              <w:left w:val="nil"/>
              <w:bottom w:val="nil"/>
              <w:right w:val="nil"/>
              <w:tl2br w:val="nil"/>
              <w:tr2bl w:val="nil"/>
            </w:tcBorders>
            <w:shd w:val="clear" w:color="auto" w:fill="FFFFFF"/>
            <w:vAlign w:val="center"/>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93" w:type="dxa"/>
            <w:gridSpan w:val="4"/>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项目</w:t>
            </w:r>
          </w:p>
        </w:tc>
        <w:tc>
          <w:tcPr>
            <w:tcW w:w="607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功能分类</w:t>
            </w:r>
          </w:p>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科目编码</w:t>
            </w:r>
          </w:p>
        </w:tc>
        <w:tc>
          <w:tcPr>
            <w:tcW w:w="8268"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科目名称</w:t>
            </w:r>
          </w:p>
        </w:tc>
        <w:tc>
          <w:tcPr>
            <w:tcW w:w="2025"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小计</w:t>
            </w:r>
          </w:p>
        </w:tc>
        <w:tc>
          <w:tcPr>
            <w:tcW w:w="2025"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基本支出</w:t>
            </w:r>
          </w:p>
        </w:tc>
        <w:tc>
          <w:tcPr>
            <w:tcW w:w="2026"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25" w:type="dxa"/>
            <w:gridSpan w:val="3"/>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826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025"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025"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026"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826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025"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025"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026"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93" w:type="dxa"/>
            <w:gridSpan w:val="4"/>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栏次</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93" w:type="dxa"/>
            <w:gridSpan w:val="4"/>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合计</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2,353.45</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2,290.43</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b/>
                <w:color w:val="000000"/>
                <w:sz w:val="22"/>
                <w:szCs w:val="22"/>
                <w:highlight w:val="none"/>
              </w:rPr>
            </w:pPr>
            <w:r>
              <w:rPr>
                <w:rFonts w:hint="default" w:ascii="宋体" w:hAnsi="宋体" w:eastAsia="宋体" w:cs="宋体"/>
                <w:b/>
                <w:color w:val="000000"/>
                <w:kern w:val="0"/>
                <w:sz w:val="22"/>
                <w:szCs w:val="22"/>
                <w:highlight w:val="none"/>
                <w:lang w:bidi="ar"/>
              </w:rPr>
              <w:t>63.02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201</w:t>
            </w:r>
          </w:p>
        </w:tc>
        <w:tc>
          <w:tcPr>
            <w:tcW w:w="82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一般公共服务支出</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2,112.44</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2,049.42</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63.02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20138</w:t>
            </w:r>
          </w:p>
        </w:tc>
        <w:tc>
          <w:tcPr>
            <w:tcW w:w="82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市场监督管理事务</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2,112.44</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2,049.42</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63.02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2013850</w:t>
            </w:r>
          </w:p>
        </w:tc>
        <w:tc>
          <w:tcPr>
            <w:tcW w:w="82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事业运行</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2,039.17</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eastAsia" w:ascii="宋体" w:hAnsi="宋体" w:eastAsia="宋体" w:cs="宋体"/>
                <w:color w:val="000000"/>
                <w:sz w:val="22"/>
                <w:szCs w:val="22"/>
                <w:highlight w:val="none"/>
                <w:lang w:val="en-US" w:eastAsia="zh-CN"/>
              </w:rPr>
            </w:pPr>
            <w:r>
              <w:rPr>
                <w:rFonts w:hint="default" w:ascii="宋体" w:hAnsi="宋体" w:eastAsia="宋体" w:cs="宋体"/>
                <w:color w:val="000000"/>
                <w:kern w:val="0"/>
                <w:sz w:val="22"/>
                <w:szCs w:val="22"/>
                <w:highlight w:val="none"/>
                <w:lang w:bidi="ar"/>
              </w:rPr>
              <w:t>2,004.4</w:t>
            </w:r>
            <w:r>
              <w:rPr>
                <w:rFonts w:hint="eastAsia" w:ascii="宋体" w:hAnsi="宋体" w:eastAsia="宋体" w:cs="宋体"/>
                <w:color w:val="000000"/>
                <w:kern w:val="0"/>
                <w:sz w:val="22"/>
                <w:szCs w:val="22"/>
                <w:highlight w:val="none"/>
                <w:lang w:val="en-US" w:eastAsia="zh-CN" w:bidi="ar"/>
              </w:rPr>
              <w:t>1</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34.76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2013899</w:t>
            </w:r>
          </w:p>
        </w:tc>
        <w:tc>
          <w:tcPr>
            <w:tcW w:w="82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其他市场监督管理事务</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73.26</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45.00</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28.26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w:t>
            </w:r>
          </w:p>
        </w:tc>
        <w:tc>
          <w:tcPr>
            <w:tcW w:w="82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社会保障和就业支出</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110.63</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110.63</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20805</w:t>
            </w:r>
          </w:p>
        </w:tc>
        <w:tc>
          <w:tcPr>
            <w:tcW w:w="82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行政事业单位养老支出</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100.29</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100.29</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2080502</w:t>
            </w:r>
          </w:p>
        </w:tc>
        <w:tc>
          <w:tcPr>
            <w:tcW w:w="82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事业单位离退休</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36.37</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36.37</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2080505</w:t>
            </w:r>
          </w:p>
        </w:tc>
        <w:tc>
          <w:tcPr>
            <w:tcW w:w="82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机关事业单位基本养老保险缴费支出</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63.92</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63.92</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20899</w:t>
            </w:r>
          </w:p>
        </w:tc>
        <w:tc>
          <w:tcPr>
            <w:tcW w:w="82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其他社会保障和就业支出</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10.34</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10.34</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2089999</w:t>
            </w:r>
          </w:p>
        </w:tc>
        <w:tc>
          <w:tcPr>
            <w:tcW w:w="82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其他社会保障和就业支出</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10.34</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10.34</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210</w:t>
            </w:r>
          </w:p>
        </w:tc>
        <w:tc>
          <w:tcPr>
            <w:tcW w:w="82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卫生健康支出</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44.26</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44.26</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21011</w:t>
            </w:r>
          </w:p>
        </w:tc>
        <w:tc>
          <w:tcPr>
            <w:tcW w:w="82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行政事业单位医疗</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44.26</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44.26</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2101102</w:t>
            </w:r>
          </w:p>
        </w:tc>
        <w:tc>
          <w:tcPr>
            <w:tcW w:w="82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事业单位医疗</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44.26</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44.26</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221</w:t>
            </w:r>
          </w:p>
        </w:tc>
        <w:tc>
          <w:tcPr>
            <w:tcW w:w="82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住房保障支出</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22102</w:t>
            </w:r>
          </w:p>
        </w:tc>
        <w:tc>
          <w:tcPr>
            <w:tcW w:w="82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住房改革支出</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5"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2210201</w:t>
            </w:r>
          </w:p>
        </w:tc>
        <w:tc>
          <w:tcPr>
            <w:tcW w:w="82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住房公积金</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202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202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169" w:type="dxa"/>
            <w:gridSpan w:val="7"/>
            <w:tcBorders>
              <w:top w:val="nil"/>
              <w:left w:val="nil"/>
              <w:bottom w:val="nil"/>
              <w:right w:val="nil"/>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注：</w:t>
            </w:r>
            <w:r>
              <w:rPr>
                <w:rFonts w:hint="default" w:ascii="宋体" w:hAnsi="宋体" w:eastAsia="宋体" w:cs="宋体"/>
                <w:color w:val="000000"/>
                <w:kern w:val="0"/>
                <w:sz w:val="22"/>
                <w:szCs w:val="22"/>
                <w:highlight w:val="none"/>
                <w:lang w:val="en" w:bidi="ar"/>
              </w:rPr>
              <w:t>1、</w:t>
            </w:r>
            <w:r>
              <w:rPr>
                <w:rFonts w:hint="default" w:ascii="宋体" w:hAnsi="宋体" w:eastAsia="宋体" w:cs="宋体"/>
                <w:color w:val="000000"/>
                <w:kern w:val="0"/>
                <w:sz w:val="22"/>
                <w:szCs w:val="22"/>
                <w:highlight w:val="none"/>
                <w:lang w:bidi="ar"/>
              </w:rPr>
              <w:t>本表反映</w:t>
            </w:r>
            <w:r>
              <w:rPr>
                <w:rFonts w:hint="eastAsia" w:ascii="宋体" w:hAnsi="宋体" w:eastAsia="宋体" w:cs="宋体"/>
                <w:color w:val="000000"/>
                <w:kern w:val="0"/>
                <w:sz w:val="22"/>
                <w:szCs w:val="22"/>
                <w:highlight w:val="none"/>
                <w:lang w:eastAsia="zh-CN" w:bidi="ar"/>
              </w:rPr>
              <w:t>单位</w:t>
            </w:r>
            <w:r>
              <w:rPr>
                <w:rFonts w:hint="default" w:ascii="宋体" w:hAnsi="宋体" w:eastAsia="宋体" w:cs="宋体"/>
                <w:color w:val="000000"/>
                <w:kern w:val="0"/>
                <w:sz w:val="22"/>
                <w:szCs w:val="22"/>
                <w:highlight w:val="none"/>
                <w:lang w:bidi="ar"/>
              </w:rPr>
              <w:t>本年度一般公共预算财政拨款支出情况。</w:t>
            </w:r>
          </w:p>
          <w:p>
            <w:pPr>
              <w:widowControl/>
              <w:spacing w:beforeLines="0" w:afterLines="0"/>
              <w:jc w:val="left"/>
              <w:textAlignment w:val="center"/>
              <w:rPr>
                <w:rFonts w:hint="default" w:ascii="宋体" w:hAnsi="宋体" w:eastAsia="宋体" w:cs="宋体"/>
                <w:color w:val="000000"/>
                <w:kern w:val="0"/>
                <w:sz w:val="22"/>
                <w:szCs w:val="22"/>
                <w:highlight w:val="yellow"/>
                <w:lang w:bidi="ar"/>
              </w:rPr>
            </w:pPr>
            <w:r>
              <w:rPr>
                <w:rFonts w:hint="default" w:ascii="宋体" w:hAnsi="宋体" w:eastAsia="宋体" w:cs="宋体"/>
                <w:color w:val="000000"/>
                <w:kern w:val="0"/>
                <w:sz w:val="22"/>
                <w:szCs w:val="22"/>
                <w:highlight w:val="none"/>
                <w:lang w:bidi="ar"/>
              </w:rPr>
              <w:t xml:space="preserve"> </w:t>
            </w:r>
            <w:r>
              <w:rPr>
                <w:rFonts w:hint="default" w:ascii="宋体" w:hAnsi="宋体" w:eastAsia="宋体" w:cs="宋体"/>
                <w:color w:val="000000"/>
                <w:kern w:val="0"/>
                <w:sz w:val="22"/>
                <w:szCs w:val="22"/>
                <w:highlight w:val="none"/>
                <w:lang w:val="en" w:bidi="ar"/>
              </w:rPr>
              <w:t xml:space="preserve">   </w:t>
            </w:r>
            <w:r>
              <w:rPr>
                <w:rFonts w:hint="default" w:ascii="宋体" w:hAnsi="宋体" w:eastAsia="宋体" w:cs="宋体"/>
                <w:color w:val="000000"/>
                <w:kern w:val="0"/>
                <w:sz w:val="22"/>
                <w:szCs w:val="22"/>
                <w:highlight w:val="none"/>
                <w:lang w:bidi="ar"/>
              </w:rPr>
              <w:t>2</w:t>
            </w:r>
            <w:r>
              <w:rPr>
                <w:rFonts w:hint="eastAsia" w:ascii="宋体" w:hAnsi="宋体" w:eastAsia="宋体" w:cs="宋体"/>
                <w:color w:val="000000"/>
                <w:kern w:val="0"/>
                <w:sz w:val="22"/>
                <w:szCs w:val="22"/>
                <w:highlight w:val="none"/>
                <w:lang w:eastAsia="zh-CN" w:bidi="ar"/>
              </w:rPr>
              <w:t>、</w:t>
            </w:r>
            <w:r>
              <w:rPr>
                <w:rFonts w:hint="default" w:ascii="宋体" w:hAnsi="宋体" w:eastAsia="宋体" w:cs="宋体"/>
                <w:color w:val="000000"/>
                <w:kern w:val="0"/>
                <w:sz w:val="22"/>
                <w:szCs w:val="22"/>
                <w:highlight w:val="none"/>
                <w:lang w:bidi="ar"/>
              </w:rPr>
              <w:t>本套报表金额单位转换时可能存在尾数误差。</w:t>
            </w:r>
          </w:p>
        </w:tc>
      </w:tr>
    </w:tbl>
    <w:p>
      <w:pPr>
        <w:spacing w:beforeLines="0" w:afterLines="0"/>
        <w:rPr>
          <w:rFonts w:hint="eastAsia"/>
          <w:sz w:val="21"/>
          <w:szCs w:val="22"/>
          <w:highlight w:val="none"/>
        </w:rPr>
        <w:sectPr>
          <w:pgSz w:w="16840" w:h="11900" w:orient="landscape"/>
          <w:pgMar w:top="1083" w:right="403" w:bottom="1083" w:left="403" w:header="0" w:footer="0" w:gutter="0"/>
          <w:lnNumType w:countBy="0" w:distance="360"/>
          <w:cols w:space="720" w:num="1"/>
          <w:docGrid w:type="lines" w:linePitch="312" w:charSpace="0"/>
        </w:sectPr>
      </w:pPr>
    </w:p>
    <w:p>
      <w:pPr>
        <w:spacing w:beforeLines="0" w:afterLines="0"/>
        <w:rPr>
          <w:rFonts w:hint="eastAsia"/>
          <w:sz w:val="21"/>
          <w:szCs w:val="22"/>
          <w:highlight w:val="none"/>
        </w:rPr>
      </w:pPr>
    </w:p>
    <w:tbl>
      <w:tblPr>
        <w:tblStyle w:val="9"/>
        <w:tblW w:w="16154"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7"/>
        <w:gridCol w:w="3516"/>
        <w:gridCol w:w="832"/>
        <w:gridCol w:w="1007"/>
        <w:gridCol w:w="2416"/>
        <w:gridCol w:w="986"/>
        <w:gridCol w:w="1007"/>
        <w:gridCol w:w="4396"/>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6154" w:type="dxa"/>
            <w:gridSpan w:val="9"/>
            <w:tcBorders>
              <w:top w:val="nil"/>
              <w:left w:val="nil"/>
              <w:bottom w:val="nil"/>
              <w:right w:val="nil"/>
              <w:tl2br w:val="nil"/>
              <w:tr2bl w:val="nil"/>
            </w:tcBorders>
            <w:shd w:val="clear" w:color="auto" w:fill="FFFFFF"/>
            <w:vAlign w:val="center"/>
          </w:tcPr>
          <w:p>
            <w:pPr>
              <w:widowControl/>
              <w:spacing w:beforeLines="0" w:afterLines="0"/>
              <w:jc w:val="center"/>
              <w:textAlignment w:val="center"/>
              <w:rPr>
                <w:rFonts w:hint="eastAsia" w:ascii="黑体" w:hAnsi="宋体" w:eastAsia="黑体" w:cs="黑体"/>
                <w:color w:val="000000"/>
                <w:sz w:val="30"/>
                <w:szCs w:val="30"/>
                <w:highlight w:val="none"/>
              </w:rPr>
            </w:pPr>
            <w:r>
              <w:rPr>
                <w:rFonts w:hint="eastAsia" w:ascii="黑体" w:hAnsi="宋体" w:eastAsia="黑体" w:cs="黑体"/>
                <w:color w:val="000000"/>
                <w:kern w:val="0"/>
                <w:sz w:val="30"/>
                <w:szCs w:val="30"/>
                <w:highlight w:val="none"/>
                <w:lang w:bidi="ar"/>
              </w:rPr>
              <w:t>一般公共预算财政拨款基本支出决算明细表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07"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3516"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832"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007"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2416"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986"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007"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5383" w:type="dxa"/>
            <w:gridSpan w:val="2"/>
            <w:tcBorders>
              <w:top w:val="nil"/>
              <w:left w:val="nil"/>
              <w:bottom w:val="nil"/>
              <w:right w:val="nil"/>
              <w:tl2br w:val="nil"/>
              <w:tr2bl w:val="nil"/>
            </w:tcBorders>
            <w:shd w:val="clear" w:color="auto" w:fill="FFFFFF"/>
            <w:vAlign w:val="center"/>
          </w:tcPr>
          <w:p>
            <w:pPr>
              <w:widowControl/>
              <w:spacing w:beforeLines="0" w:afterLines="0"/>
              <w:ind w:firstLine="2250" w:firstLineChars="1250"/>
              <w:jc w:val="left"/>
              <w:textAlignment w:val="bottom"/>
              <w:rPr>
                <w:rFonts w:hint="default" w:ascii="宋体" w:hAnsi="宋体" w:eastAsia="宋体" w:cs="宋体"/>
                <w:color w:val="000000"/>
                <w:sz w:val="18"/>
                <w:szCs w:val="18"/>
                <w:highlight w:val="none"/>
              </w:rPr>
            </w:pPr>
            <w:r>
              <w:rPr>
                <w:rFonts w:hint="default" w:ascii="宋体" w:hAnsi="宋体" w:eastAsia="宋体" w:cs="宋体"/>
                <w:color w:val="000000"/>
                <w:kern w:val="0"/>
                <w:sz w:val="18"/>
                <w:szCs w:val="18"/>
                <w:highlight w:val="none"/>
                <w:lang w:bidi="ar"/>
              </w:rPr>
              <w:t>公开06表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771" w:type="dxa"/>
            <w:gridSpan w:val="7"/>
            <w:tcBorders>
              <w:top w:val="nil"/>
              <w:left w:val="nil"/>
              <w:bottom w:val="nil"/>
              <w:right w:val="nil"/>
              <w:tl2br w:val="nil"/>
              <w:tr2bl w:val="nil"/>
            </w:tcBorders>
            <w:shd w:val="clear" w:color="auto" w:fill="FFFFFF"/>
            <w:vAlign w:val="bottom"/>
          </w:tcPr>
          <w:p>
            <w:pPr>
              <w:widowControl/>
              <w:spacing w:beforeLines="0" w:afterLines="0"/>
              <w:jc w:val="left"/>
              <w:textAlignment w:val="bottom"/>
              <w:rPr>
                <w:rFonts w:hint="default" w:ascii="宋体" w:hAnsi="宋体" w:eastAsia="宋体" w:cs="宋体"/>
                <w:color w:val="000000"/>
                <w:sz w:val="18"/>
                <w:szCs w:val="18"/>
                <w:highlight w:val="none"/>
              </w:rPr>
            </w:pPr>
            <w:r>
              <w:rPr>
                <w:rFonts w:hint="default" w:ascii="宋体" w:hAnsi="宋体" w:eastAsia="宋体" w:cs="宋体"/>
                <w:color w:val="000000"/>
                <w:kern w:val="0"/>
                <w:sz w:val="18"/>
                <w:szCs w:val="18"/>
                <w:highlight w:val="none"/>
                <w:lang w:bidi="ar"/>
              </w:rPr>
              <w:t>单位：湖南省市场监管事务中心</w:t>
            </w:r>
          </w:p>
        </w:tc>
        <w:tc>
          <w:tcPr>
            <w:tcW w:w="5383" w:type="dxa"/>
            <w:gridSpan w:val="2"/>
            <w:tcBorders>
              <w:top w:val="nil"/>
              <w:left w:val="nil"/>
              <w:bottom w:val="nil"/>
              <w:right w:val="nil"/>
              <w:tl2br w:val="nil"/>
              <w:tr2bl w:val="nil"/>
            </w:tcBorders>
            <w:shd w:val="clear" w:color="auto" w:fill="FFFFFF"/>
            <w:vAlign w:val="center"/>
          </w:tcPr>
          <w:p>
            <w:pPr>
              <w:widowControl/>
              <w:spacing w:beforeLines="0" w:afterLines="0"/>
              <w:ind w:firstLine="2250" w:firstLineChars="1250"/>
              <w:jc w:val="left"/>
              <w:textAlignment w:val="bottom"/>
              <w:rPr>
                <w:rFonts w:hint="default" w:ascii="宋体" w:hAnsi="宋体" w:eastAsia="宋体" w:cs="宋体"/>
                <w:color w:val="000000"/>
                <w:sz w:val="18"/>
                <w:szCs w:val="18"/>
                <w:highlight w:val="none"/>
              </w:rPr>
            </w:pPr>
            <w:r>
              <w:rPr>
                <w:rFonts w:hint="default" w:ascii="宋体" w:hAnsi="宋体" w:eastAsia="宋体" w:cs="宋体"/>
                <w:color w:val="000000"/>
                <w:kern w:val="0"/>
                <w:sz w:val="18"/>
                <w:szCs w:val="18"/>
                <w:highlight w:val="none"/>
                <w:lang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355"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人员经费</w:t>
            </w:r>
          </w:p>
        </w:tc>
        <w:tc>
          <w:tcPr>
            <w:tcW w:w="10799" w:type="dxa"/>
            <w:gridSpan w:val="6"/>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经济分类科目编码</w:t>
            </w:r>
          </w:p>
        </w:tc>
        <w:tc>
          <w:tcPr>
            <w:tcW w:w="3516"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科目名称</w:t>
            </w:r>
          </w:p>
        </w:tc>
        <w:tc>
          <w:tcPr>
            <w:tcW w:w="83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决算数</w:t>
            </w:r>
          </w:p>
        </w:tc>
        <w:tc>
          <w:tcPr>
            <w:tcW w:w="1007"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经济分类科目编码</w:t>
            </w:r>
          </w:p>
        </w:tc>
        <w:tc>
          <w:tcPr>
            <w:tcW w:w="2416"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科目名称</w:t>
            </w:r>
          </w:p>
        </w:tc>
        <w:tc>
          <w:tcPr>
            <w:tcW w:w="986"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决算数</w:t>
            </w:r>
          </w:p>
        </w:tc>
        <w:tc>
          <w:tcPr>
            <w:tcW w:w="1007"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经济分类科目编码</w:t>
            </w:r>
          </w:p>
        </w:tc>
        <w:tc>
          <w:tcPr>
            <w:tcW w:w="4396"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科目名称</w:t>
            </w:r>
          </w:p>
        </w:tc>
        <w:tc>
          <w:tcPr>
            <w:tcW w:w="987"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3516"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83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007"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416"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986"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007"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4396"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987"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301</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工资福利支出</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950.90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商品和服务支出</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1,303.16</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307</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债务利息及费用支出</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30101</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基本工资</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eastAsia" w:ascii="宋体" w:hAnsi="宋体" w:eastAsia="宋体" w:cs="宋体"/>
                <w:color w:val="000000"/>
                <w:sz w:val="22"/>
                <w:szCs w:val="22"/>
                <w:highlight w:val="none"/>
                <w:lang w:val="en-US" w:eastAsia="zh-CN"/>
              </w:rPr>
            </w:pPr>
            <w:r>
              <w:rPr>
                <w:rFonts w:hint="default" w:ascii="宋体" w:hAnsi="宋体" w:eastAsia="宋体" w:cs="宋体"/>
                <w:color w:val="000000"/>
                <w:kern w:val="0"/>
                <w:sz w:val="22"/>
                <w:szCs w:val="22"/>
                <w:highlight w:val="none"/>
                <w:lang w:bidi="ar"/>
              </w:rPr>
              <w:t>178.7</w:t>
            </w:r>
            <w:r>
              <w:rPr>
                <w:rFonts w:hint="eastAsia" w:ascii="宋体" w:hAnsi="宋体" w:eastAsia="宋体" w:cs="宋体"/>
                <w:color w:val="000000"/>
                <w:kern w:val="0"/>
                <w:sz w:val="22"/>
                <w:szCs w:val="22"/>
                <w:highlight w:val="none"/>
                <w:lang w:val="en-US" w:eastAsia="zh-CN" w:bidi="ar"/>
              </w:rPr>
              <w:t>1</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30201</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办公费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6.36</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30701</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国内债务付息</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30102</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津贴补贴</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205.37</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30202</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印刷费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8.47</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30702</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国外债务付息</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30103</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奖金</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49.27</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30203</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咨询费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310</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资本性支出</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30106</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伙食补助费</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23.14</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30204</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手续费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31001</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房屋建筑物购建</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30107</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绩效工资</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289.77</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30205</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水费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31002</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办公设备购置</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30108</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机关事业单位基本养老保险缴费</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63.92</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30206</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电费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31003</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专用设备购置</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30109</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职业年金缴费</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30207</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邮电费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31005</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基础设施建设</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30110</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职工基本医疗保险缴费</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44.26</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30208</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取暖费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31006</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大型修缮</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30111</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公务员医疗补助缴费</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30209</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物业管理费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31007</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信息网络及软件购置更新</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30112</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其他社会保障缴费</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10.34</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30211</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差旅费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6.77</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31008</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物资储备</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30113</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住房公积金</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86.12</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30212</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因公出国（境）费用</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31009</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土地补偿</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30114</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医疗费</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30213</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维修（护）费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219.04</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31010</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安置补助</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30199</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其他工资福利支出</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30214</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租赁费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31011</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地上附着物和青苗补偿</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303</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对个人和家庭的补助</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36.37</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30215</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会议费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1.95</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31012</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拆迁补偿</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30301</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离休费</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30216</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培训费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2.18</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31013</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公务用车购置</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30302</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退休费</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31.10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30217</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公务接待费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0.11</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31019</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其他交通工具购置</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30303</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退职（役）费</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30218</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专用材料费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31021</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文物和陈列品购置</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30304</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抚恤金</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30224</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被装购置费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31022</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无形资产购置</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30305</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生活补助</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30225</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专用燃料费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31099</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其他资本性支出</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30306</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救济费</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30226</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劳务费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870.55</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399</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其他支出</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30307</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医疗费补助</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30227</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委托业务费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39907</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国家赔偿费用支出</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30308</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助学金</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30228</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工会经费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39908</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对民间非营利组织和群众性自治组织补贴</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30309</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奖励金</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30229</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福利费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39909</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经常性赠与</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30310</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个人农业生产补贴</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30231</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公务用车运行维护费</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9.77</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39910</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资本性赠与</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30311</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代缴社会保险费</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30239</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其他交通费用</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39999</w:t>
            </w: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其他支出</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30399</w:t>
            </w: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其他对个人和家庭的补助</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eastAsia" w:ascii="宋体" w:hAnsi="宋体" w:eastAsia="宋体" w:cs="宋体"/>
                <w:color w:val="000000"/>
                <w:sz w:val="22"/>
                <w:szCs w:val="22"/>
                <w:highlight w:val="none"/>
                <w:lang w:val="en-US" w:eastAsia="zh-CN"/>
              </w:rPr>
            </w:pPr>
            <w:r>
              <w:rPr>
                <w:rFonts w:hint="default" w:ascii="宋体" w:hAnsi="宋体" w:eastAsia="宋体" w:cs="宋体"/>
                <w:color w:val="000000"/>
                <w:kern w:val="0"/>
                <w:sz w:val="22"/>
                <w:szCs w:val="22"/>
                <w:highlight w:val="none"/>
                <w:lang w:bidi="ar"/>
              </w:rPr>
              <w:t>5.2</w:t>
            </w:r>
            <w:r>
              <w:rPr>
                <w:rFonts w:hint="eastAsia" w:ascii="宋体" w:hAnsi="宋体" w:eastAsia="宋体" w:cs="宋体"/>
                <w:color w:val="000000"/>
                <w:kern w:val="0"/>
                <w:sz w:val="22"/>
                <w:szCs w:val="22"/>
                <w:highlight w:val="none"/>
                <w:lang w:val="en-US" w:eastAsia="zh-CN" w:bidi="ar"/>
              </w:rPr>
              <w:t>7</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30240</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税金及附加费用</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35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30299</w:t>
            </w:r>
          </w:p>
        </w:tc>
        <w:tc>
          <w:tcPr>
            <w:tcW w:w="241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 xml:space="preserve">  其他商品和服务支出</w:t>
            </w:r>
          </w:p>
        </w:tc>
        <w:tc>
          <w:tcPr>
            <w:tcW w:w="98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137.96</w:t>
            </w:r>
          </w:p>
        </w:tc>
        <w:tc>
          <w:tcPr>
            <w:tcW w:w="100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439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523" w:type="dxa"/>
            <w:gridSpan w:val="2"/>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人员经费合计</w:t>
            </w:r>
          </w:p>
        </w:tc>
        <w:tc>
          <w:tcPr>
            <w:tcW w:w="832"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987.27</w:t>
            </w:r>
          </w:p>
        </w:tc>
        <w:tc>
          <w:tcPr>
            <w:tcW w:w="9812" w:type="dxa"/>
            <w:gridSpan w:val="5"/>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公用经费合计</w:t>
            </w:r>
          </w:p>
        </w:tc>
        <w:tc>
          <w:tcPr>
            <w:tcW w:w="98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1,303.16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154" w:type="dxa"/>
            <w:gridSpan w:val="9"/>
            <w:tcBorders>
              <w:top w:val="nil"/>
              <w:left w:val="nil"/>
              <w:bottom w:val="nil"/>
              <w:right w:val="nil"/>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注：本表反映</w:t>
            </w:r>
            <w:r>
              <w:rPr>
                <w:rFonts w:hint="eastAsia" w:ascii="宋体" w:hAnsi="宋体" w:eastAsia="宋体" w:cs="宋体"/>
                <w:color w:val="000000"/>
                <w:kern w:val="0"/>
                <w:sz w:val="22"/>
                <w:szCs w:val="22"/>
                <w:highlight w:val="none"/>
                <w:lang w:eastAsia="zh-CN" w:bidi="ar"/>
              </w:rPr>
              <w:t>单位</w:t>
            </w:r>
            <w:r>
              <w:rPr>
                <w:rFonts w:hint="default" w:ascii="宋体" w:hAnsi="宋体" w:eastAsia="宋体" w:cs="宋体"/>
                <w:color w:val="000000"/>
                <w:kern w:val="0"/>
                <w:sz w:val="22"/>
                <w:szCs w:val="22"/>
                <w:highlight w:val="none"/>
                <w:lang w:bidi="ar"/>
              </w:rPr>
              <w:t>本年度一般公共预算财政拨款基本支出明细情况。</w:t>
            </w:r>
          </w:p>
        </w:tc>
      </w:tr>
    </w:tbl>
    <w:p>
      <w:pPr>
        <w:spacing w:beforeLines="0" w:afterLines="0"/>
        <w:rPr>
          <w:rFonts w:hint="eastAsia"/>
          <w:sz w:val="21"/>
          <w:szCs w:val="22"/>
          <w:highlight w:val="none"/>
        </w:rPr>
        <w:sectPr>
          <w:pgSz w:w="16840" w:h="11900" w:orient="landscape"/>
          <w:pgMar w:top="1083" w:right="403" w:bottom="1083" w:left="403" w:header="0" w:footer="0" w:gutter="0"/>
          <w:lnNumType w:countBy="0" w:distance="360"/>
          <w:cols w:space="720" w:num="1"/>
          <w:docGrid w:type="lines" w:linePitch="312" w:charSpace="0"/>
        </w:sectPr>
      </w:pPr>
    </w:p>
    <w:p>
      <w:pPr>
        <w:spacing w:beforeLines="0" w:afterLines="0"/>
        <w:rPr>
          <w:rFonts w:hint="eastAsia"/>
          <w:sz w:val="21"/>
          <w:szCs w:val="22"/>
          <w:highlight w:val="none"/>
        </w:rPr>
      </w:pPr>
    </w:p>
    <w:tbl>
      <w:tblPr>
        <w:tblStyle w:val="9"/>
        <w:tblW w:w="1616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7"/>
        <w:gridCol w:w="417"/>
        <w:gridCol w:w="417"/>
        <w:gridCol w:w="2058"/>
        <w:gridCol w:w="2143"/>
        <w:gridCol w:w="2144"/>
        <w:gridCol w:w="2144"/>
        <w:gridCol w:w="2144"/>
        <w:gridCol w:w="2144"/>
        <w:gridCol w:w="21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6169" w:type="dxa"/>
            <w:gridSpan w:val="10"/>
            <w:tcBorders>
              <w:top w:val="nil"/>
              <w:left w:val="nil"/>
              <w:bottom w:val="nil"/>
              <w:right w:val="nil"/>
              <w:tl2br w:val="nil"/>
              <w:tr2bl w:val="nil"/>
            </w:tcBorders>
            <w:shd w:val="clear" w:color="auto" w:fill="FFFFFF"/>
            <w:vAlign w:val="center"/>
          </w:tcPr>
          <w:p>
            <w:pPr>
              <w:widowControl/>
              <w:spacing w:beforeLines="0" w:afterLines="0"/>
              <w:jc w:val="center"/>
              <w:textAlignment w:val="center"/>
              <w:rPr>
                <w:rFonts w:hint="eastAsia" w:ascii="黑体" w:hAnsi="宋体" w:eastAsia="黑体" w:cs="黑体"/>
                <w:color w:val="000000"/>
                <w:sz w:val="30"/>
                <w:szCs w:val="30"/>
                <w:highlight w:val="none"/>
              </w:rPr>
            </w:pPr>
            <w:r>
              <w:rPr>
                <w:rFonts w:hint="eastAsia" w:ascii="黑体" w:hAnsi="宋体" w:eastAsia="黑体" w:cs="黑体"/>
                <w:color w:val="000000"/>
                <w:kern w:val="0"/>
                <w:sz w:val="30"/>
                <w:szCs w:val="30"/>
                <w:highlight w:val="none"/>
                <w:lang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17"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417"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417"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2058"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2143"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2144"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2144"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2144"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4285" w:type="dxa"/>
            <w:gridSpan w:val="2"/>
            <w:tcBorders>
              <w:top w:val="nil"/>
              <w:left w:val="nil"/>
              <w:bottom w:val="nil"/>
              <w:right w:val="nil"/>
              <w:tl2br w:val="nil"/>
              <w:tr2bl w:val="nil"/>
            </w:tcBorders>
            <w:shd w:val="clear" w:color="auto" w:fill="FFFFFF"/>
            <w:vAlign w:val="center"/>
          </w:tcPr>
          <w:p>
            <w:pPr>
              <w:widowControl/>
              <w:spacing w:beforeLines="0" w:afterLines="0"/>
              <w:ind w:firstLine="300" w:firstLineChars="15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884" w:type="dxa"/>
            <w:gridSpan w:val="8"/>
            <w:tcBorders>
              <w:top w:val="nil"/>
              <w:left w:val="nil"/>
              <w:bottom w:val="nil"/>
              <w:right w:val="nil"/>
              <w:tl2br w:val="nil"/>
              <w:tr2bl w:val="nil"/>
            </w:tcBorders>
            <w:shd w:val="clear" w:color="auto" w:fill="FFFFFF"/>
            <w:vAlign w:val="bottom"/>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单位：湖南省市场监管事务中心</w:t>
            </w:r>
          </w:p>
        </w:tc>
        <w:tc>
          <w:tcPr>
            <w:tcW w:w="4285" w:type="dxa"/>
            <w:gridSpan w:val="2"/>
            <w:tcBorders>
              <w:top w:val="nil"/>
              <w:left w:val="nil"/>
              <w:bottom w:val="nil"/>
              <w:right w:val="nil"/>
              <w:tl2br w:val="nil"/>
              <w:tr2bl w:val="nil"/>
            </w:tcBorders>
            <w:shd w:val="clear" w:color="auto" w:fill="FFFFFF"/>
            <w:vAlign w:val="center"/>
          </w:tcPr>
          <w:p>
            <w:pPr>
              <w:widowControl/>
              <w:spacing w:beforeLines="0" w:afterLines="0"/>
              <w:ind w:firstLine="300" w:firstLineChars="15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09" w:type="dxa"/>
            <w:gridSpan w:val="4"/>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项目</w:t>
            </w:r>
          </w:p>
        </w:tc>
        <w:tc>
          <w:tcPr>
            <w:tcW w:w="2143"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年初结转和结余</w:t>
            </w:r>
          </w:p>
        </w:tc>
        <w:tc>
          <w:tcPr>
            <w:tcW w:w="2144"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本年收入</w:t>
            </w:r>
          </w:p>
        </w:tc>
        <w:tc>
          <w:tcPr>
            <w:tcW w:w="6432"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本年支出</w:t>
            </w:r>
          </w:p>
        </w:tc>
        <w:tc>
          <w:tcPr>
            <w:tcW w:w="2141"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51" w:type="dxa"/>
            <w:gridSpan w:val="3"/>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科目代码</w:t>
            </w:r>
          </w:p>
        </w:tc>
        <w:tc>
          <w:tcPr>
            <w:tcW w:w="2058"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科目名称</w:t>
            </w:r>
          </w:p>
        </w:tc>
        <w:tc>
          <w:tcPr>
            <w:tcW w:w="2143"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144"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144"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小计</w:t>
            </w:r>
          </w:p>
        </w:tc>
        <w:tc>
          <w:tcPr>
            <w:tcW w:w="2144"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基本支出</w:t>
            </w:r>
          </w:p>
        </w:tc>
        <w:tc>
          <w:tcPr>
            <w:tcW w:w="2144"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项目支出</w:t>
            </w:r>
          </w:p>
        </w:tc>
        <w:tc>
          <w:tcPr>
            <w:tcW w:w="2141"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51" w:type="dxa"/>
            <w:gridSpan w:val="3"/>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05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143"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144"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144"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144"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144"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141"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51" w:type="dxa"/>
            <w:gridSpan w:val="3"/>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05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143"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144"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144"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144"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144"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141"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09" w:type="dxa"/>
            <w:gridSpan w:val="4"/>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栏次</w:t>
            </w:r>
          </w:p>
        </w:tc>
        <w:tc>
          <w:tcPr>
            <w:tcW w:w="21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w:t>
            </w:r>
          </w:p>
        </w:tc>
        <w:tc>
          <w:tcPr>
            <w:tcW w:w="214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w:t>
            </w:r>
          </w:p>
        </w:tc>
        <w:tc>
          <w:tcPr>
            <w:tcW w:w="214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w:t>
            </w:r>
          </w:p>
        </w:tc>
        <w:tc>
          <w:tcPr>
            <w:tcW w:w="214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w:t>
            </w:r>
          </w:p>
        </w:tc>
        <w:tc>
          <w:tcPr>
            <w:tcW w:w="214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w:t>
            </w:r>
          </w:p>
        </w:tc>
        <w:tc>
          <w:tcPr>
            <w:tcW w:w="21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09" w:type="dxa"/>
            <w:gridSpan w:val="4"/>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合计</w:t>
            </w:r>
          </w:p>
        </w:tc>
        <w:tc>
          <w:tcPr>
            <w:tcW w:w="2143"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b w:val="0"/>
                <w:bCs/>
                <w:color w:val="000000"/>
                <w:sz w:val="22"/>
                <w:szCs w:val="22"/>
                <w:highlight w:val="none"/>
              </w:rPr>
            </w:pPr>
            <w:r>
              <w:rPr>
                <w:rFonts w:hint="default" w:ascii="宋体" w:hAnsi="宋体" w:eastAsia="宋体" w:cs="宋体"/>
                <w:b w:val="0"/>
                <w:bCs/>
                <w:color w:val="000000"/>
                <w:sz w:val="22"/>
                <w:szCs w:val="22"/>
                <w:highlight w:val="none"/>
              </w:rPr>
              <w:t>0.00</w:t>
            </w:r>
          </w:p>
        </w:tc>
        <w:tc>
          <w:tcPr>
            <w:tcW w:w="214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b w:val="0"/>
                <w:bCs/>
                <w:color w:val="000000"/>
                <w:sz w:val="22"/>
                <w:szCs w:val="22"/>
                <w:highlight w:val="none"/>
              </w:rPr>
            </w:pPr>
            <w:r>
              <w:rPr>
                <w:rFonts w:hint="default" w:ascii="宋体" w:hAnsi="宋体" w:eastAsia="宋体" w:cs="宋体"/>
                <w:b w:val="0"/>
                <w:bCs/>
                <w:color w:val="000000"/>
                <w:sz w:val="22"/>
                <w:szCs w:val="22"/>
                <w:highlight w:val="none"/>
              </w:rPr>
              <w:t>0.00</w:t>
            </w:r>
          </w:p>
        </w:tc>
        <w:tc>
          <w:tcPr>
            <w:tcW w:w="214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b w:val="0"/>
                <w:bCs/>
                <w:color w:val="000000"/>
                <w:sz w:val="22"/>
                <w:szCs w:val="22"/>
                <w:highlight w:val="none"/>
              </w:rPr>
            </w:pPr>
            <w:r>
              <w:rPr>
                <w:rFonts w:hint="default" w:ascii="宋体" w:hAnsi="宋体" w:eastAsia="宋体" w:cs="宋体"/>
                <w:b w:val="0"/>
                <w:bCs/>
                <w:color w:val="000000"/>
                <w:sz w:val="22"/>
                <w:szCs w:val="22"/>
                <w:highlight w:val="none"/>
              </w:rPr>
              <w:t>0.00</w:t>
            </w:r>
          </w:p>
        </w:tc>
        <w:tc>
          <w:tcPr>
            <w:tcW w:w="214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b w:val="0"/>
                <w:bCs/>
                <w:color w:val="000000"/>
                <w:sz w:val="22"/>
                <w:szCs w:val="22"/>
                <w:highlight w:val="none"/>
              </w:rPr>
            </w:pPr>
            <w:r>
              <w:rPr>
                <w:rFonts w:hint="default" w:ascii="宋体" w:hAnsi="宋体" w:eastAsia="宋体" w:cs="宋体"/>
                <w:b w:val="0"/>
                <w:bCs/>
                <w:color w:val="000000"/>
                <w:sz w:val="22"/>
                <w:szCs w:val="22"/>
                <w:highlight w:val="none"/>
              </w:rPr>
              <w:t>0.00</w:t>
            </w:r>
          </w:p>
        </w:tc>
        <w:tc>
          <w:tcPr>
            <w:tcW w:w="2144"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b w:val="0"/>
                <w:bCs/>
                <w:color w:val="000000"/>
                <w:sz w:val="22"/>
                <w:szCs w:val="22"/>
                <w:highlight w:val="none"/>
              </w:rPr>
            </w:pPr>
            <w:r>
              <w:rPr>
                <w:rFonts w:hint="default" w:ascii="宋体" w:hAnsi="宋体" w:eastAsia="宋体" w:cs="宋体"/>
                <w:b w:val="0"/>
                <w:bCs/>
                <w:color w:val="000000"/>
                <w:sz w:val="22"/>
                <w:szCs w:val="22"/>
                <w:highlight w:val="none"/>
              </w:rPr>
              <w:t>0.00</w:t>
            </w:r>
          </w:p>
        </w:tc>
        <w:tc>
          <w:tcPr>
            <w:tcW w:w="214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b w:val="0"/>
                <w:bCs/>
                <w:color w:val="000000"/>
                <w:sz w:val="22"/>
                <w:szCs w:val="22"/>
                <w:highlight w:val="none"/>
              </w:rPr>
            </w:pPr>
            <w:r>
              <w:rPr>
                <w:rFonts w:hint="default" w:ascii="宋体" w:hAnsi="宋体" w:eastAsia="宋体" w:cs="宋体"/>
                <w:b w:val="0"/>
                <w:bCs/>
                <w:color w:val="000000"/>
                <w:sz w:val="22"/>
                <w:szCs w:val="22"/>
                <w:highlight w:val="none"/>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51" w:type="dxa"/>
            <w:gridSpan w:val="3"/>
            <w:tcBorders>
              <w:top w:val="nil"/>
              <w:left w:val="nil"/>
              <w:bottom w:val="single" w:color="C0C0C0" w:sz="4" w:space="0"/>
              <w:right w:val="single" w:color="C0C0C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2058" w:type="dxa"/>
            <w:tcBorders>
              <w:top w:val="nil"/>
              <w:left w:val="nil"/>
              <w:bottom w:val="single" w:color="C0C0C0" w:sz="4" w:space="0"/>
              <w:right w:val="single" w:color="C0C0C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2143" w:type="dxa"/>
            <w:tcBorders>
              <w:top w:val="nil"/>
              <w:left w:val="nil"/>
              <w:bottom w:val="single" w:color="C0C0C0" w:sz="4" w:space="0"/>
              <w:right w:val="single" w:color="C0C0C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2144" w:type="dxa"/>
            <w:tcBorders>
              <w:top w:val="nil"/>
              <w:left w:val="nil"/>
              <w:bottom w:val="single" w:color="C0C0C0" w:sz="4" w:space="0"/>
              <w:right w:val="single" w:color="C0C0C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2144" w:type="dxa"/>
            <w:tcBorders>
              <w:top w:val="nil"/>
              <w:left w:val="nil"/>
              <w:bottom w:val="single" w:color="C0C0C0" w:sz="4" w:space="0"/>
              <w:right w:val="single" w:color="C0C0C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2144" w:type="dxa"/>
            <w:tcBorders>
              <w:top w:val="nil"/>
              <w:left w:val="nil"/>
              <w:bottom w:val="single" w:color="C0C0C0" w:sz="4" w:space="0"/>
              <w:right w:val="single" w:color="C0C0C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2144" w:type="dxa"/>
            <w:tcBorders>
              <w:top w:val="nil"/>
              <w:left w:val="nil"/>
              <w:bottom w:val="single" w:color="C0C0C0" w:sz="4" w:space="0"/>
              <w:right w:val="single" w:color="C0C0C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2141" w:type="dxa"/>
            <w:tcBorders>
              <w:top w:val="nil"/>
              <w:left w:val="nil"/>
              <w:bottom w:val="single" w:color="C0C0C0" w:sz="4" w:space="0"/>
              <w:right w:val="single" w:color="C0C0C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169" w:type="dxa"/>
            <w:gridSpan w:val="10"/>
            <w:tcBorders>
              <w:top w:val="nil"/>
              <w:left w:val="nil"/>
              <w:bottom w:val="nil"/>
              <w:right w:val="nil"/>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注：本表反映</w:t>
            </w:r>
            <w:r>
              <w:rPr>
                <w:rFonts w:hint="eastAsia" w:ascii="宋体" w:hAnsi="宋体" w:eastAsia="宋体" w:cs="宋体"/>
                <w:color w:val="000000"/>
                <w:kern w:val="0"/>
                <w:sz w:val="22"/>
                <w:szCs w:val="22"/>
                <w:highlight w:val="none"/>
                <w:lang w:eastAsia="zh-CN" w:bidi="ar"/>
              </w:rPr>
              <w:t>单位</w:t>
            </w:r>
            <w:r>
              <w:rPr>
                <w:rFonts w:hint="default" w:ascii="宋体" w:hAnsi="宋体" w:eastAsia="宋体" w:cs="宋体"/>
                <w:color w:val="000000"/>
                <w:kern w:val="0"/>
                <w:sz w:val="22"/>
                <w:szCs w:val="22"/>
                <w:highlight w:val="none"/>
                <w:lang w:bidi="ar"/>
              </w:rPr>
              <w:t>本年度政府性基金预算财政拨款收入、支出及结转和结余情况。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169" w:type="dxa"/>
            <w:gridSpan w:val="10"/>
            <w:tcBorders>
              <w:top w:val="nil"/>
              <w:left w:val="nil"/>
              <w:bottom w:val="nil"/>
              <w:right w:val="nil"/>
              <w:tl2br w:val="nil"/>
              <w:tr2bl w:val="nil"/>
            </w:tcBorders>
            <w:shd w:val="clear" w:color="auto" w:fill="FFFFFF"/>
            <w:vAlign w:val="top"/>
          </w:tcPr>
          <w:p>
            <w:pPr>
              <w:spacing w:beforeLines="0" w:afterLines="0"/>
              <w:rPr>
                <w:rFonts w:hint="default" w:ascii="宋体" w:hAnsi="宋体" w:eastAsia="宋体"/>
                <w:sz w:val="22"/>
                <w:szCs w:val="22"/>
                <w:highlight w:val="none"/>
              </w:rPr>
            </w:pPr>
            <w:r>
              <w:rPr>
                <w:rFonts w:hint="eastAsia" w:ascii="宋体" w:hAnsi="宋体" w:eastAsia="宋体"/>
                <w:sz w:val="22"/>
                <w:szCs w:val="22"/>
                <w:highlight w:val="none"/>
                <w:lang w:eastAsia="zh-CN"/>
              </w:rPr>
              <w:t>说明：</w:t>
            </w:r>
            <w:r>
              <w:rPr>
                <w:rFonts w:hint="eastAsia" w:ascii="宋体" w:hAnsi="宋体" w:eastAsia="宋体" w:cs="宋体"/>
                <w:i w:val="0"/>
                <w:color w:val="000000"/>
                <w:kern w:val="0"/>
                <w:sz w:val="22"/>
                <w:szCs w:val="22"/>
                <w:highlight w:val="none"/>
                <w:u w:val="none"/>
                <w:lang w:val="en-US" w:eastAsia="zh-CN" w:bidi="ar"/>
              </w:rPr>
              <w:t>我单位没有政府性基金收入，也没有使用政府性基金安排的支出，故本表无数据。</w:t>
            </w:r>
          </w:p>
          <w:tbl>
            <w:tblPr>
              <w:tblStyle w:val="9"/>
              <w:tblW w:w="150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00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w:t>
                  </w:r>
                </w:p>
              </w:tc>
            </w:tr>
          </w:tbl>
          <w:p>
            <w:pPr>
              <w:spacing w:beforeLines="0" w:afterLines="0"/>
              <w:rPr>
                <w:rFonts w:hint="eastAsia"/>
                <w:sz w:val="21"/>
                <w:szCs w:val="22"/>
                <w:highlight w:val="none"/>
              </w:rPr>
            </w:pPr>
          </w:p>
        </w:tc>
      </w:tr>
    </w:tbl>
    <w:p>
      <w:pPr>
        <w:spacing w:beforeLines="0" w:afterLines="0"/>
        <w:rPr>
          <w:rFonts w:hint="eastAsia"/>
          <w:sz w:val="21"/>
          <w:szCs w:val="22"/>
          <w:highlight w:val="none"/>
        </w:rPr>
        <w:sectPr>
          <w:pgSz w:w="16840" w:h="11900" w:orient="landscape"/>
          <w:pgMar w:top="1083" w:right="403" w:bottom="1083" w:left="403" w:header="0" w:footer="0" w:gutter="0"/>
          <w:lnNumType w:countBy="0" w:distance="360"/>
          <w:cols w:space="720" w:num="1"/>
          <w:docGrid w:type="lines" w:linePitch="312" w:charSpace="0"/>
        </w:sectPr>
      </w:pPr>
    </w:p>
    <w:p>
      <w:pPr>
        <w:spacing w:beforeLines="0" w:afterLines="0"/>
        <w:rPr>
          <w:rFonts w:hint="eastAsia"/>
          <w:sz w:val="21"/>
          <w:szCs w:val="22"/>
          <w:highlight w:val="none"/>
        </w:rPr>
      </w:pPr>
    </w:p>
    <w:tbl>
      <w:tblPr>
        <w:tblStyle w:val="9"/>
        <w:tblW w:w="1616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4"/>
        <w:gridCol w:w="924"/>
        <w:gridCol w:w="924"/>
        <w:gridCol w:w="4571"/>
        <w:gridCol w:w="2890"/>
        <w:gridCol w:w="2968"/>
        <w:gridCol w:w="29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6169" w:type="dxa"/>
            <w:gridSpan w:val="7"/>
            <w:tcBorders>
              <w:top w:val="nil"/>
              <w:left w:val="nil"/>
              <w:bottom w:val="nil"/>
              <w:right w:val="nil"/>
              <w:tl2br w:val="nil"/>
              <w:tr2bl w:val="nil"/>
            </w:tcBorders>
            <w:shd w:val="clear" w:color="auto" w:fill="FFFFFF"/>
            <w:vAlign w:val="center"/>
          </w:tcPr>
          <w:p>
            <w:pPr>
              <w:widowControl/>
              <w:spacing w:beforeLines="0" w:afterLines="0"/>
              <w:jc w:val="center"/>
              <w:textAlignment w:val="center"/>
              <w:rPr>
                <w:rFonts w:hint="eastAsia" w:ascii="黑体" w:hAnsi="宋体" w:eastAsia="黑体" w:cs="黑体"/>
                <w:color w:val="000000"/>
                <w:sz w:val="30"/>
                <w:szCs w:val="30"/>
                <w:highlight w:val="none"/>
              </w:rPr>
            </w:pPr>
            <w:r>
              <w:rPr>
                <w:rFonts w:hint="eastAsia" w:ascii="黑体" w:hAnsi="宋体" w:eastAsia="黑体" w:cs="黑体"/>
                <w:color w:val="000000"/>
                <w:kern w:val="0"/>
                <w:sz w:val="30"/>
                <w:szCs w:val="30"/>
                <w:highlight w:val="none"/>
                <w:lang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24"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924"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924"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4571"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2890"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5936" w:type="dxa"/>
            <w:gridSpan w:val="2"/>
            <w:tcBorders>
              <w:top w:val="nil"/>
              <w:left w:val="nil"/>
              <w:bottom w:val="nil"/>
              <w:right w:val="nil"/>
              <w:tl2br w:val="nil"/>
              <w:tr2bl w:val="nil"/>
            </w:tcBorders>
            <w:shd w:val="clear" w:color="auto" w:fill="FFFFFF"/>
            <w:vAlign w:val="center"/>
          </w:tcPr>
          <w:p>
            <w:pPr>
              <w:widowControl/>
              <w:spacing w:beforeLines="0" w:afterLines="0"/>
              <w:ind w:firstLine="2600" w:firstLineChars="130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233" w:type="dxa"/>
            <w:gridSpan w:val="5"/>
            <w:tcBorders>
              <w:top w:val="nil"/>
              <w:left w:val="nil"/>
              <w:bottom w:val="nil"/>
              <w:right w:val="nil"/>
              <w:tl2br w:val="nil"/>
              <w:tr2bl w:val="nil"/>
            </w:tcBorders>
            <w:shd w:val="clear" w:color="auto" w:fill="FFFFFF"/>
            <w:vAlign w:val="bottom"/>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单位：湖南省市场监管事务中心</w:t>
            </w:r>
          </w:p>
        </w:tc>
        <w:tc>
          <w:tcPr>
            <w:tcW w:w="5936" w:type="dxa"/>
            <w:gridSpan w:val="2"/>
            <w:tcBorders>
              <w:top w:val="nil"/>
              <w:left w:val="nil"/>
              <w:bottom w:val="nil"/>
              <w:right w:val="nil"/>
              <w:tl2br w:val="nil"/>
              <w:tr2bl w:val="nil"/>
            </w:tcBorders>
            <w:shd w:val="clear" w:color="auto" w:fill="FFFFFF"/>
            <w:vAlign w:val="center"/>
          </w:tcPr>
          <w:p>
            <w:pPr>
              <w:widowControl/>
              <w:spacing w:beforeLines="0" w:afterLines="0"/>
              <w:ind w:firstLine="2600" w:firstLineChars="130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343" w:type="dxa"/>
            <w:gridSpan w:val="4"/>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项目</w:t>
            </w:r>
          </w:p>
        </w:tc>
        <w:tc>
          <w:tcPr>
            <w:tcW w:w="8826"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72" w:type="dxa"/>
            <w:gridSpan w:val="3"/>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科目代码</w:t>
            </w:r>
          </w:p>
        </w:tc>
        <w:tc>
          <w:tcPr>
            <w:tcW w:w="4571"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科目名称</w:t>
            </w:r>
          </w:p>
        </w:tc>
        <w:tc>
          <w:tcPr>
            <w:tcW w:w="2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合计</w:t>
            </w:r>
          </w:p>
        </w:tc>
        <w:tc>
          <w:tcPr>
            <w:tcW w:w="2968"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基本支出</w:t>
            </w:r>
          </w:p>
        </w:tc>
        <w:tc>
          <w:tcPr>
            <w:tcW w:w="2968"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72" w:type="dxa"/>
            <w:gridSpan w:val="3"/>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4571"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96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96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72" w:type="dxa"/>
            <w:gridSpan w:val="3"/>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4571"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96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2968"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343" w:type="dxa"/>
            <w:gridSpan w:val="4"/>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栏次</w:t>
            </w:r>
          </w:p>
        </w:tc>
        <w:tc>
          <w:tcPr>
            <w:tcW w:w="28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343" w:type="dxa"/>
            <w:gridSpan w:val="4"/>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合计</w:t>
            </w:r>
          </w:p>
        </w:tc>
        <w:tc>
          <w:tcPr>
            <w:tcW w:w="28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eastAsia" w:ascii="宋体" w:hAnsi="宋体" w:eastAsia="宋体" w:cs="宋体"/>
                <w:b w:val="0"/>
                <w:bCs/>
                <w:color w:val="000000"/>
                <w:sz w:val="22"/>
                <w:szCs w:val="22"/>
                <w:highlight w:val="none"/>
                <w:lang w:val="en-US" w:eastAsia="zh-CN"/>
              </w:rPr>
            </w:pPr>
            <w:r>
              <w:rPr>
                <w:rFonts w:hint="eastAsia" w:ascii="宋体" w:hAnsi="宋体" w:eastAsia="宋体" w:cs="宋体"/>
                <w:b w:val="0"/>
                <w:bCs/>
                <w:color w:val="000000"/>
                <w:sz w:val="22"/>
                <w:szCs w:val="22"/>
                <w:highlight w:val="none"/>
                <w:lang w:val="en-US" w:eastAsia="zh-CN"/>
              </w:rPr>
              <w:t>0.00</w:t>
            </w:r>
            <w:r>
              <w:rPr>
                <w:rFonts w:hint="eastAsia" w:ascii="宋体" w:hAnsi="宋体" w:eastAsia="宋体" w:cs="宋体"/>
                <w:b w:val="0"/>
                <w:bCs/>
                <w:color w:val="000000"/>
                <w:sz w:val="22"/>
                <w:szCs w:val="22"/>
                <w:highlight w:val="none"/>
                <w:lang w:val="en-US" w:eastAsia="zh-CN"/>
              </w:rPr>
              <w:tab/>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b w:val="0"/>
                <w:bCs/>
                <w:color w:val="000000"/>
                <w:sz w:val="22"/>
                <w:szCs w:val="22"/>
                <w:highlight w:val="none"/>
              </w:rPr>
            </w:pPr>
            <w:r>
              <w:rPr>
                <w:rFonts w:hint="default" w:ascii="宋体" w:hAnsi="宋体" w:eastAsia="宋体" w:cs="宋体"/>
                <w:b w:val="0"/>
                <w:bCs/>
                <w:color w:val="000000"/>
                <w:sz w:val="22"/>
                <w:szCs w:val="22"/>
                <w:highlight w:val="none"/>
              </w:rPr>
              <w:t>0.00</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b w:val="0"/>
                <w:bCs/>
                <w:color w:val="000000"/>
                <w:sz w:val="22"/>
                <w:szCs w:val="22"/>
                <w:highlight w:val="none"/>
              </w:rPr>
            </w:pPr>
            <w:r>
              <w:rPr>
                <w:rFonts w:hint="default" w:ascii="宋体" w:hAnsi="宋体" w:eastAsia="宋体" w:cs="宋体"/>
                <w:b w:val="0"/>
                <w:bCs/>
                <w:color w:val="000000"/>
                <w:sz w:val="22"/>
                <w:szCs w:val="22"/>
                <w:highlight w:val="none"/>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72"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457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left"/>
              <w:rPr>
                <w:rFonts w:hint="default" w:ascii="宋体" w:hAnsi="宋体" w:eastAsia="宋体" w:cs="宋体"/>
                <w:color w:val="000000"/>
                <w:sz w:val="22"/>
                <w:szCs w:val="22"/>
                <w:highlight w:val="none"/>
              </w:rPr>
            </w:pPr>
          </w:p>
        </w:tc>
        <w:tc>
          <w:tcPr>
            <w:tcW w:w="289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right"/>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169" w:type="dxa"/>
            <w:gridSpan w:val="7"/>
            <w:tcBorders>
              <w:top w:val="nil"/>
              <w:left w:val="nil"/>
              <w:bottom w:val="nil"/>
              <w:right w:val="nil"/>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注：本表反映</w:t>
            </w:r>
            <w:r>
              <w:rPr>
                <w:rFonts w:hint="eastAsia" w:ascii="宋体" w:hAnsi="宋体" w:eastAsia="宋体" w:cs="宋体"/>
                <w:color w:val="000000"/>
                <w:kern w:val="0"/>
                <w:sz w:val="22"/>
                <w:szCs w:val="22"/>
                <w:highlight w:val="none"/>
                <w:lang w:eastAsia="zh-CN" w:bidi="ar"/>
              </w:rPr>
              <w:t>单位</w:t>
            </w:r>
            <w:r>
              <w:rPr>
                <w:rFonts w:hint="default" w:ascii="宋体" w:hAnsi="宋体" w:eastAsia="宋体" w:cs="宋体"/>
                <w:color w:val="000000"/>
                <w:kern w:val="0"/>
                <w:sz w:val="22"/>
                <w:szCs w:val="22"/>
                <w:highlight w:val="none"/>
                <w:lang w:bidi="ar"/>
              </w:rPr>
              <w:t>本年度国有资本经营预算财政拨款支出情况。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169" w:type="dxa"/>
            <w:gridSpan w:val="7"/>
            <w:tcBorders>
              <w:top w:val="nil"/>
              <w:left w:val="nil"/>
              <w:bottom w:val="nil"/>
              <w:right w:val="nil"/>
              <w:tl2br w:val="nil"/>
              <w:tr2bl w:val="nil"/>
            </w:tcBorders>
            <w:shd w:val="clear" w:color="auto" w:fill="FFFFFF"/>
            <w:vAlign w:val="top"/>
          </w:tcPr>
          <w:tbl>
            <w:tblPr>
              <w:tblStyle w:val="9"/>
              <w:tblW w:w="1342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4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42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highlight w:val="none"/>
                      <w:u w:val="none"/>
                      <w:lang w:val="en-US" w:eastAsia="zh-CN" w:bidi="ar"/>
                    </w:rPr>
                    <w:t>说明：我单位没有使用国有资本经营预算安排的支出，故本表无数据。</w:t>
                  </w:r>
                </w:p>
              </w:tc>
            </w:tr>
          </w:tbl>
          <w:p>
            <w:pPr>
              <w:spacing w:beforeLines="0" w:afterLines="0"/>
              <w:rPr>
                <w:rFonts w:hint="eastAsia"/>
                <w:sz w:val="21"/>
                <w:szCs w:val="22"/>
                <w:highlight w:val="none"/>
              </w:rPr>
            </w:pPr>
          </w:p>
        </w:tc>
      </w:tr>
    </w:tbl>
    <w:p>
      <w:pPr>
        <w:spacing w:beforeLines="0" w:afterLines="0"/>
        <w:rPr>
          <w:rFonts w:hint="eastAsia"/>
          <w:sz w:val="21"/>
          <w:szCs w:val="22"/>
          <w:highlight w:val="none"/>
        </w:rPr>
        <w:sectPr>
          <w:pgSz w:w="16840" w:h="11900" w:orient="landscape"/>
          <w:pgMar w:top="1083" w:right="403" w:bottom="1083" w:left="403" w:header="0" w:footer="0" w:gutter="0"/>
          <w:lnNumType w:countBy="0" w:distance="360"/>
          <w:cols w:space="720" w:num="1"/>
          <w:docGrid w:type="lines" w:linePitch="312" w:charSpace="0"/>
        </w:sectPr>
      </w:pPr>
    </w:p>
    <w:p>
      <w:pPr>
        <w:spacing w:beforeLines="0" w:afterLines="0"/>
        <w:rPr>
          <w:rFonts w:hint="eastAsia"/>
          <w:sz w:val="21"/>
          <w:szCs w:val="22"/>
          <w:highlight w:val="none"/>
        </w:rPr>
      </w:pPr>
    </w:p>
    <w:tbl>
      <w:tblPr>
        <w:tblStyle w:val="9"/>
        <w:tblW w:w="1522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69"/>
        <w:gridCol w:w="1269"/>
        <w:gridCol w:w="1269"/>
        <w:gridCol w:w="1269"/>
        <w:gridCol w:w="1269"/>
        <w:gridCol w:w="1269"/>
        <w:gridCol w:w="1269"/>
        <w:gridCol w:w="1269"/>
        <w:gridCol w:w="1269"/>
        <w:gridCol w:w="1269"/>
        <w:gridCol w:w="1269"/>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15228" w:type="dxa"/>
            <w:gridSpan w:val="12"/>
            <w:tcBorders>
              <w:top w:val="nil"/>
              <w:left w:val="nil"/>
              <w:bottom w:val="nil"/>
              <w:right w:val="nil"/>
              <w:tl2br w:val="nil"/>
              <w:tr2bl w:val="nil"/>
            </w:tcBorders>
            <w:shd w:val="clear" w:color="auto" w:fill="FFFFFF"/>
            <w:vAlign w:val="center"/>
          </w:tcPr>
          <w:p>
            <w:pPr>
              <w:widowControl/>
              <w:spacing w:beforeLines="0" w:afterLines="0"/>
              <w:jc w:val="center"/>
              <w:textAlignment w:val="center"/>
              <w:rPr>
                <w:rFonts w:hint="eastAsia" w:ascii="黑体" w:hAnsi="宋体" w:eastAsia="黑体" w:cs="黑体"/>
                <w:color w:val="000000"/>
                <w:sz w:val="44"/>
                <w:szCs w:val="44"/>
                <w:highlight w:val="none"/>
              </w:rPr>
            </w:pPr>
            <w:r>
              <w:rPr>
                <w:rFonts w:hint="eastAsia" w:ascii="黑体" w:hAnsi="宋体" w:eastAsia="黑体" w:cs="黑体"/>
                <w:color w:val="000000"/>
                <w:kern w:val="0"/>
                <w:sz w:val="30"/>
                <w:szCs w:val="44"/>
                <w:highlight w:val="none"/>
                <w:lang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69"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269"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269"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269"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269"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269"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269"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269"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269"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1269" w:type="dxa"/>
            <w:tcBorders>
              <w:top w:val="nil"/>
              <w:left w:val="nil"/>
              <w:bottom w:val="nil"/>
              <w:right w:val="nil"/>
              <w:tl2br w:val="nil"/>
              <w:tr2bl w:val="nil"/>
            </w:tcBorders>
            <w:shd w:val="clear" w:color="auto" w:fill="FFFFFF"/>
            <w:vAlign w:val="center"/>
          </w:tcPr>
          <w:p>
            <w:pPr>
              <w:spacing w:beforeLines="0" w:afterLines="0"/>
              <w:rPr>
                <w:rFonts w:hint="default" w:ascii="宋体" w:hAnsi="宋体" w:eastAsia="宋体" w:cs="宋体"/>
                <w:color w:val="000000"/>
                <w:sz w:val="22"/>
                <w:szCs w:val="22"/>
                <w:highlight w:val="none"/>
              </w:rPr>
            </w:pPr>
          </w:p>
        </w:tc>
        <w:tc>
          <w:tcPr>
            <w:tcW w:w="2538" w:type="dxa"/>
            <w:gridSpan w:val="2"/>
            <w:tcBorders>
              <w:top w:val="nil"/>
              <w:left w:val="nil"/>
              <w:bottom w:val="nil"/>
              <w:right w:val="nil"/>
              <w:tl2br w:val="nil"/>
              <w:tr2bl w:val="nil"/>
            </w:tcBorders>
            <w:shd w:val="clear" w:color="auto" w:fill="FFFFFF"/>
            <w:vAlign w:val="center"/>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690" w:type="dxa"/>
            <w:gridSpan w:val="10"/>
            <w:tcBorders>
              <w:top w:val="nil"/>
              <w:left w:val="nil"/>
              <w:bottom w:val="nil"/>
              <w:right w:val="nil"/>
              <w:tl2br w:val="nil"/>
              <w:tr2bl w:val="nil"/>
            </w:tcBorders>
            <w:shd w:val="clear" w:color="auto" w:fill="FFFFFF"/>
            <w:vAlign w:val="bottom"/>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单位：湖南省市场监管事务中心</w:t>
            </w:r>
          </w:p>
        </w:tc>
        <w:tc>
          <w:tcPr>
            <w:tcW w:w="2538" w:type="dxa"/>
            <w:gridSpan w:val="2"/>
            <w:tcBorders>
              <w:top w:val="nil"/>
              <w:left w:val="nil"/>
              <w:bottom w:val="nil"/>
              <w:right w:val="nil"/>
              <w:tl2br w:val="nil"/>
              <w:tr2bl w:val="nil"/>
            </w:tcBorders>
            <w:shd w:val="clear" w:color="auto" w:fill="FFFFFF"/>
            <w:vAlign w:val="center"/>
          </w:tcPr>
          <w:p>
            <w:pPr>
              <w:widowControl/>
              <w:spacing w:beforeLines="0" w:afterLines="0"/>
              <w:jc w:val="left"/>
              <w:textAlignment w:val="bottom"/>
              <w:rPr>
                <w:rFonts w:hint="default" w:ascii="宋体" w:hAnsi="宋体" w:eastAsia="宋体" w:cs="宋体"/>
                <w:color w:val="000000"/>
                <w:sz w:val="20"/>
                <w:szCs w:val="20"/>
                <w:highlight w:val="none"/>
              </w:rPr>
            </w:pPr>
            <w:r>
              <w:rPr>
                <w:rFonts w:hint="default" w:ascii="宋体" w:hAnsi="宋体" w:eastAsia="宋体" w:cs="宋体"/>
                <w:color w:val="000000"/>
                <w:kern w:val="0"/>
                <w:sz w:val="20"/>
                <w:szCs w:val="20"/>
                <w:highlight w:val="none"/>
                <w:lang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14" w:type="dxa"/>
            <w:gridSpan w:val="6"/>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预算数</w:t>
            </w:r>
          </w:p>
        </w:tc>
        <w:tc>
          <w:tcPr>
            <w:tcW w:w="7614" w:type="dxa"/>
            <w:gridSpan w:val="6"/>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69"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合计</w:t>
            </w:r>
          </w:p>
        </w:tc>
        <w:tc>
          <w:tcPr>
            <w:tcW w:w="1269"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因公出国（境）费</w:t>
            </w:r>
          </w:p>
        </w:tc>
        <w:tc>
          <w:tcPr>
            <w:tcW w:w="3807"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公务用车购置及运行维护费</w:t>
            </w:r>
          </w:p>
        </w:tc>
        <w:tc>
          <w:tcPr>
            <w:tcW w:w="1269"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公务接待费</w:t>
            </w:r>
          </w:p>
        </w:tc>
        <w:tc>
          <w:tcPr>
            <w:tcW w:w="1269"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合计</w:t>
            </w:r>
          </w:p>
        </w:tc>
        <w:tc>
          <w:tcPr>
            <w:tcW w:w="1269"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因公出国（境）费</w:t>
            </w:r>
          </w:p>
        </w:tc>
        <w:tc>
          <w:tcPr>
            <w:tcW w:w="3807"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公务用车购置及运行维护费</w:t>
            </w:r>
          </w:p>
        </w:tc>
        <w:tc>
          <w:tcPr>
            <w:tcW w:w="1269"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69"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269"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小计</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公务用车购置费</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公务用车运行维护费</w:t>
            </w:r>
          </w:p>
        </w:tc>
        <w:tc>
          <w:tcPr>
            <w:tcW w:w="1269"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269"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269"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小计</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公务用车购置费</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公务用车运行维护费</w:t>
            </w:r>
          </w:p>
        </w:tc>
        <w:tc>
          <w:tcPr>
            <w:tcW w:w="1269"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1F1F1"/>
            <w:vAlign w:val="center"/>
          </w:tcPr>
          <w:p>
            <w:pPr>
              <w:spacing w:beforeLines="0" w:afterLines="0"/>
              <w:jc w:val="center"/>
              <w:rPr>
                <w:rFonts w:hint="default" w:ascii="宋体" w:hAnsi="宋体" w:eastAsia="宋体" w:cs="宋体"/>
                <w:color w:val="00000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4</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5</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6</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7</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8</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9</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10</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11</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34.86</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34.75</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24.98</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9.77</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0.11</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34.86</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0.00</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34.75</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24.98</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9.77</w:t>
            </w:r>
          </w:p>
        </w:tc>
        <w:tc>
          <w:tcPr>
            <w:tcW w:w="1269"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righ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228" w:type="dxa"/>
            <w:gridSpan w:val="12"/>
            <w:tcBorders>
              <w:top w:val="nil"/>
              <w:left w:val="nil"/>
              <w:bottom w:val="nil"/>
              <w:right w:val="nil"/>
              <w:tl2br w:val="nil"/>
              <w:tr2bl w:val="nil"/>
            </w:tcBorders>
            <w:shd w:val="clear" w:color="auto" w:fill="FFFFFF"/>
            <w:vAlign w:val="center"/>
          </w:tcPr>
          <w:p>
            <w:pPr>
              <w:widowControl/>
              <w:spacing w:beforeLines="0" w:afterLines="0"/>
              <w:jc w:val="left"/>
              <w:textAlignment w:val="center"/>
              <w:rPr>
                <w:rFonts w:hint="default" w:ascii="宋体" w:hAnsi="宋体" w:eastAsia="宋体" w:cs="宋体"/>
                <w:color w:val="000000"/>
                <w:sz w:val="22"/>
                <w:szCs w:val="22"/>
                <w:highlight w:val="none"/>
              </w:rPr>
            </w:pPr>
            <w:r>
              <w:rPr>
                <w:rFonts w:hint="default" w:ascii="宋体" w:hAnsi="宋体" w:eastAsia="宋体" w:cs="宋体"/>
                <w:color w:val="000000"/>
                <w:kern w:val="0"/>
                <w:sz w:val="22"/>
                <w:szCs w:val="22"/>
                <w:highlight w:val="none"/>
                <w:lang w:bidi="ar"/>
              </w:rPr>
              <w:t>注：本表反映</w:t>
            </w:r>
            <w:r>
              <w:rPr>
                <w:rFonts w:hint="eastAsia" w:ascii="宋体" w:hAnsi="宋体" w:eastAsia="宋体" w:cs="宋体"/>
                <w:color w:val="000000"/>
                <w:kern w:val="0"/>
                <w:sz w:val="22"/>
                <w:szCs w:val="22"/>
                <w:highlight w:val="none"/>
                <w:lang w:eastAsia="zh-CN" w:bidi="ar"/>
              </w:rPr>
              <w:t>单位</w:t>
            </w:r>
            <w:r>
              <w:rPr>
                <w:rFonts w:hint="default" w:ascii="宋体" w:hAnsi="宋体" w:eastAsia="宋体" w:cs="宋体"/>
                <w:color w:val="000000"/>
                <w:kern w:val="0"/>
                <w:sz w:val="22"/>
                <w:szCs w:val="22"/>
                <w:highlight w:val="none"/>
                <w:lang w:bidi="ar"/>
              </w:rPr>
              <w:t>本年度财政拨款“三公”经费支出预决算情况。其中，预算数为“三公”经费全年预算数，反映按规定程序调整后的预算数；决算数是包括当年财政拨款和以前年度结转资金安排的实际支出。</w:t>
            </w:r>
          </w:p>
        </w:tc>
      </w:tr>
    </w:tbl>
    <w:p>
      <w:pPr>
        <w:spacing w:beforeLines="0" w:afterLines="0"/>
        <w:rPr>
          <w:rFonts w:hint="eastAsia"/>
          <w:sz w:val="21"/>
          <w:szCs w:val="22"/>
          <w:highlight w:val="none"/>
        </w:rPr>
        <w:sectPr>
          <w:pgSz w:w="16840" w:h="11900" w:orient="landscape"/>
          <w:pgMar w:top="1083" w:right="403" w:bottom="1083" w:left="403" w:header="0" w:footer="0" w:gutter="0"/>
          <w:lnNumType w:countBy="0" w:distance="360"/>
          <w:cols w:space="720" w:num="1"/>
          <w:docGrid w:type="lines" w:linePitch="312" w:charSpace="0"/>
        </w:sectPr>
      </w:pPr>
    </w:p>
    <w:p>
      <w:pPr>
        <w:spacing w:beforeLines="0" w:afterLines="0"/>
        <w:rPr>
          <w:rFonts w:hint="eastAsia"/>
          <w:sz w:val="21"/>
          <w:szCs w:val="22"/>
          <w:highlight w:val="none"/>
        </w:rPr>
      </w:pPr>
    </w:p>
    <w:p>
      <w:pPr>
        <w:pStyle w:val="14"/>
        <w:rPr>
          <w:sz w:val="72"/>
          <w:szCs w:val="72"/>
          <w:highlight w:val="none"/>
        </w:rPr>
      </w:pPr>
    </w:p>
    <w:p>
      <w:pPr>
        <w:pStyle w:val="14"/>
        <w:jc w:val="center"/>
        <w:rPr>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r>
        <w:rPr>
          <w:rFonts w:hint="eastAsia" w:ascii="方正小标宋_GBK" w:hAnsi="方正小标宋_GBK" w:eastAsia="方正小标宋_GBK" w:cs="方正小标宋_GBK"/>
          <w:sz w:val="72"/>
          <w:szCs w:val="72"/>
          <w:highlight w:val="none"/>
        </w:rPr>
        <w:t>第三部分</w:t>
      </w:r>
    </w:p>
    <w:p>
      <w:pPr>
        <w:pStyle w:val="14"/>
        <w:jc w:val="center"/>
        <w:rPr>
          <w:rFonts w:hint="eastAsia" w:ascii="方正小标宋_GBK" w:hAnsi="方正小标宋_GBK" w:eastAsia="方正小标宋_GBK" w:cs="方正小标宋_GBK"/>
          <w:sz w:val="70"/>
          <w:szCs w:val="70"/>
          <w:highlight w:val="none"/>
        </w:rPr>
      </w:pPr>
    </w:p>
    <w:p>
      <w:pPr>
        <w:pStyle w:val="14"/>
        <w:jc w:val="center"/>
        <w:rPr>
          <w:rFonts w:hint="eastAsia" w:ascii="方正小标宋_GBK" w:hAnsi="方正小标宋_GBK" w:eastAsia="方正小标宋_GBK" w:cs="方正小标宋_GBK"/>
          <w:sz w:val="70"/>
          <w:szCs w:val="70"/>
          <w:highlight w:val="none"/>
        </w:rPr>
      </w:pPr>
      <w:r>
        <w:rPr>
          <w:rFonts w:hint="eastAsia" w:ascii="方正小标宋_GBK" w:hAnsi="方正小标宋_GBK" w:eastAsia="方正小标宋_GBK" w:cs="方正小标宋_GBK"/>
          <w:sz w:val="70"/>
          <w:szCs w:val="70"/>
          <w:highlight w:val="none"/>
        </w:rPr>
        <w:t>202</w:t>
      </w:r>
      <w:r>
        <w:rPr>
          <w:rFonts w:hint="eastAsia" w:ascii="方正小标宋_GBK" w:hAnsi="方正小标宋_GBK" w:eastAsia="方正小标宋_GBK" w:cs="方正小标宋_GBK"/>
          <w:sz w:val="70"/>
          <w:szCs w:val="70"/>
          <w:highlight w:val="none"/>
          <w:lang w:val="en-US" w:eastAsia="zh-CN"/>
        </w:rPr>
        <w:t>3</w:t>
      </w:r>
      <w:r>
        <w:rPr>
          <w:rFonts w:hint="eastAsia" w:ascii="方正小标宋_GBK" w:hAnsi="方正小标宋_GBK" w:eastAsia="方正小标宋_GBK" w:cs="方正小标宋_GBK"/>
          <w:sz w:val="70"/>
          <w:szCs w:val="70"/>
          <w:highlight w:val="none"/>
        </w:rPr>
        <w:t>年度单位决算情况说明</w:t>
      </w:r>
    </w:p>
    <w:p>
      <w:pPr>
        <w:widowControl/>
        <w:jc w:val="left"/>
        <w:rPr>
          <w:rFonts w:asciiTheme="minorEastAsia" w:hAnsiTheme="minorEastAsia" w:eastAsiaTheme="minorEastAsia"/>
          <w:sz w:val="32"/>
          <w:szCs w:val="32"/>
          <w:highlight w:val="none"/>
        </w:rPr>
      </w:pPr>
      <w:r>
        <w:rPr>
          <w:rFonts w:hint="eastAsia" w:ascii="方正小标宋_GBK" w:hAnsi="方正小标宋_GBK" w:eastAsia="方正小标宋_GBK" w:cs="方正小标宋_GBK"/>
          <w:sz w:val="70"/>
          <w:szCs w:val="70"/>
          <w:highlight w:val="none"/>
        </w:rPr>
        <w:br w:type="page"/>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一、收入支出决算总体情况说明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年度收</w:t>
      </w:r>
      <w:r>
        <w:rPr>
          <w:rFonts w:hint="eastAsia" w:ascii="Times New Roman" w:hAnsi="Times New Roman" w:eastAsia="仿宋_GB2312"/>
          <w:sz w:val="32"/>
          <w:szCs w:val="32"/>
          <w:highlight w:val="none"/>
          <w:lang w:val="en-US" w:eastAsia="zh-CN"/>
        </w:rPr>
        <w:t>入、支出</w:t>
      </w:r>
      <w:r>
        <w:rPr>
          <w:rFonts w:hint="eastAsia" w:ascii="Times New Roman" w:hAnsi="Times New Roman" w:eastAsia="仿宋_GB2312"/>
          <w:sz w:val="32"/>
          <w:szCs w:val="32"/>
          <w:highlight w:val="none"/>
        </w:rPr>
        <w:t>总计2530.53万元。与上年相比，增加</w:t>
      </w:r>
      <w:r>
        <w:rPr>
          <w:rFonts w:hint="eastAsia" w:ascii="Times New Roman" w:hAnsi="Times New Roman" w:eastAsia="仿宋_GB2312"/>
          <w:sz w:val="32"/>
          <w:szCs w:val="32"/>
          <w:highlight w:val="none"/>
          <w:lang w:val="en-US" w:eastAsia="zh-CN"/>
        </w:rPr>
        <w:t>182.97</w:t>
      </w:r>
      <w:r>
        <w:rPr>
          <w:rFonts w:hint="eastAsia" w:ascii="Times New Roman" w:hAnsi="Times New Roman" w:eastAsia="仿宋_GB2312"/>
          <w:sz w:val="32"/>
          <w:szCs w:val="32"/>
          <w:highlight w:val="none"/>
        </w:rPr>
        <w:t>万元，增长</w:t>
      </w:r>
      <w:r>
        <w:rPr>
          <w:rFonts w:hint="eastAsia" w:ascii="Times New Roman" w:hAnsi="Times New Roman" w:eastAsia="仿宋_GB2312"/>
          <w:sz w:val="32"/>
          <w:szCs w:val="32"/>
          <w:highlight w:val="none"/>
          <w:lang w:val="en-US" w:eastAsia="zh-CN"/>
        </w:rPr>
        <w:t>7.79</w:t>
      </w:r>
      <w:r>
        <w:rPr>
          <w:rFonts w:hint="eastAsia" w:ascii="Times New Roman" w:hAnsi="Times New Roman" w:eastAsia="仿宋_GB2312"/>
          <w:sz w:val="32"/>
          <w:szCs w:val="32"/>
          <w:highlight w:val="none"/>
        </w:rPr>
        <w:t>%，主要是因为</w:t>
      </w:r>
      <w:r>
        <w:rPr>
          <w:rFonts w:hint="eastAsia" w:ascii="Times New Roman" w:hAnsi="Times New Roman" w:eastAsia="仿宋_GB2312"/>
          <w:sz w:val="32"/>
          <w:szCs w:val="32"/>
          <w:highlight w:val="none"/>
          <w:lang w:eastAsia="zh-CN"/>
        </w:rPr>
        <w:t>人员经费及项目经费</w:t>
      </w:r>
      <w:r>
        <w:rPr>
          <w:rFonts w:hint="eastAsia" w:ascii="Times New Roman" w:hAnsi="Times New Roman" w:eastAsia="仿宋_GB2312"/>
          <w:sz w:val="32"/>
          <w:szCs w:val="32"/>
          <w:highlight w:val="none"/>
          <w:lang w:val="en-US" w:eastAsia="zh-CN"/>
        </w:rPr>
        <w:t>增加。</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二、收入决算情况说明</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年度收入合计2490.66万元，其中：财政拨款收入2490.66万元，占</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%；上级补助收入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%；事业收入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%；经营收入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%；附属单位上缴收入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%；其他收入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年度支出合计2353.45万元，其中：基本支出2290.43万元，占97.32%；项目支出63.02万元，占2.68%；上缴上级支出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%；经营支出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%；对附属单位补助支出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四、财政拨款收入支出决算总体情况说明</w:t>
      </w:r>
    </w:p>
    <w:p>
      <w:pPr>
        <w:pStyle w:val="14"/>
        <w:keepNext w:val="0"/>
        <w:keepLines w:val="0"/>
        <w:pageBreakBefore w:val="0"/>
        <w:widowControl w:val="0"/>
        <w:kinsoku/>
        <w:wordWrap/>
        <w:overflowPunct/>
        <w:topLinePunct w:val="0"/>
        <w:bidi w:val="0"/>
        <w:snapToGrid/>
        <w:spacing w:line="600" w:lineRule="exact"/>
        <w:ind w:firstLine="640"/>
        <w:jc w:val="both"/>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rPr>
        <w:t xml:space="preserve"> 2023年度财政拨款收、支总计2530.53万元，与上年相比，增加182.97万元，增长</w:t>
      </w:r>
      <w:r>
        <w:rPr>
          <w:rFonts w:hint="eastAsia" w:ascii="Times New Roman" w:hAnsi="Times New Roman" w:eastAsia="仿宋_GB2312"/>
          <w:sz w:val="32"/>
          <w:szCs w:val="32"/>
          <w:highlight w:val="none"/>
          <w:lang w:val="en-US" w:eastAsia="zh-CN"/>
        </w:rPr>
        <w:t>7.79</w:t>
      </w:r>
      <w:r>
        <w:rPr>
          <w:rFonts w:hint="eastAsia" w:ascii="Times New Roman" w:hAnsi="Times New Roman" w:eastAsia="仿宋_GB2312"/>
          <w:sz w:val="32"/>
          <w:szCs w:val="32"/>
          <w:highlight w:val="none"/>
        </w:rPr>
        <w:t>%，主要是因为</w:t>
      </w:r>
      <w:r>
        <w:rPr>
          <w:rFonts w:hint="eastAsia" w:ascii="Times New Roman" w:hAnsi="Times New Roman" w:eastAsia="仿宋_GB2312"/>
          <w:sz w:val="32"/>
          <w:szCs w:val="32"/>
          <w:highlight w:val="none"/>
          <w:lang w:eastAsia="zh-CN"/>
        </w:rPr>
        <w:t>人员经费及项目经费</w:t>
      </w:r>
      <w:r>
        <w:rPr>
          <w:rFonts w:hint="eastAsia" w:ascii="Times New Roman" w:hAnsi="Times New Roman" w:eastAsia="仿宋_GB2312"/>
          <w:sz w:val="32"/>
          <w:szCs w:val="32"/>
          <w:highlight w:val="none"/>
        </w:rPr>
        <w:t>增加</w:t>
      </w:r>
      <w:r>
        <w:rPr>
          <w:rFonts w:hint="eastAsia" w:ascii="Times New Roman" w:hAnsi="Times New Roman" w:eastAsia="仿宋_GB2312"/>
          <w:sz w:val="32"/>
          <w:szCs w:val="32"/>
          <w:highlight w:val="none"/>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楷体" w:hAnsi="楷体" w:eastAsia="楷体" w:cs="楷体"/>
          <w:b w:val="0"/>
          <w:bCs/>
          <w:sz w:val="32"/>
          <w:szCs w:val="32"/>
          <w:highlight w:val="none"/>
        </w:rPr>
      </w:pPr>
      <w:r>
        <w:rPr>
          <w:rFonts w:hint="eastAsia" w:ascii="楷体" w:hAnsi="楷体" w:eastAsia="楷体" w:cs="楷体"/>
          <w:b w:val="0"/>
          <w:bCs/>
          <w:sz w:val="32"/>
          <w:szCs w:val="32"/>
          <w:highlight w:val="none"/>
        </w:rPr>
        <w:t>（一）一般公共预算财政拨款支出决算总体情况</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年度财政拨款支出2353.45万元，占本年支出合计的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%，与上年相比，财政拨款支出增加90.55万元，增长4%，主要是因为</w:t>
      </w:r>
      <w:r>
        <w:rPr>
          <w:rFonts w:hint="eastAsia" w:ascii="Times New Roman" w:hAnsi="Times New Roman" w:eastAsia="仿宋_GB2312"/>
          <w:sz w:val="32"/>
          <w:szCs w:val="32"/>
          <w:highlight w:val="none"/>
          <w:lang w:eastAsia="zh-CN"/>
        </w:rPr>
        <w:t>人员经费</w:t>
      </w:r>
      <w:r>
        <w:rPr>
          <w:rFonts w:hint="eastAsia" w:ascii="Times New Roman" w:hAnsi="Times New Roman" w:eastAsia="仿宋_GB2312"/>
          <w:sz w:val="32"/>
          <w:szCs w:val="32"/>
          <w:highlight w:val="none"/>
        </w:rPr>
        <w:t>增加。</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eastAsia" w:ascii="楷体" w:hAnsi="楷体" w:eastAsia="楷体" w:cs="楷体"/>
          <w:b w:val="0"/>
          <w:bCs/>
          <w:sz w:val="32"/>
          <w:szCs w:val="32"/>
          <w:highlight w:val="none"/>
        </w:rPr>
      </w:pPr>
      <w:r>
        <w:rPr>
          <w:rFonts w:hint="eastAsia" w:ascii="楷体" w:hAnsi="楷体" w:eastAsia="楷体" w:cs="楷体"/>
          <w:b w:val="0"/>
          <w:bCs/>
          <w:sz w:val="32"/>
          <w:szCs w:val="32"/>
          <w:highlight w:val="none"/>
        </w:rPr>
        <w:t>（二）一般公共预算财政拨款支出决算结构情况</w:t>
      </w:r>
    </w:p>
    <w:p>
      <w:pPr>
        <w:pStyle w:val="14"/>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eastAsia="仿宋_GB2312"/>
          <w:sz w:val="32"/>
          <w:szCs w:val="32"/>
          <w:highlight w:val="yellow"/>
          <w:lang w:val="en-US" w:eastAsia="zh-CN"/>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年度财政拨款支出2353.45万元，主要用于以下方面：一般公共服务（类）支出2112.44万元，占89.76%；</w:t>
      </w:r>
      <w:r>
        <w:rPr>
          <w:rFonts w:hint="eastAsia" w:ascii="Times New Roman" w:hAnsi="Times New Roman" w:eastAsia="仿宋_GB2312"/>
          <w:sz w:val="32"/>
          <w:szCs w:val="32"/>
          <w:highlight w:val="none"/>
          <w:lang w:eastAsia="zh-CN"/>
        </w:rPr>
        <w:t>社会保障和就业支出（</w:t>
      </w:r>
      <w:r>
        <w:rPr>
          <w:rFonts w:hint="eastAsia" w:ascii="Times New Roman" w:hAnsi="Times New Roman" w:eastAsia="仿宋_GB2312"/>
          <w:sz w:val="32"/>
          <w:szCs w:val="32"/>
          <w:highlight w:val="none"/>
          <w:lang w:val="en-US" w:eastAsia="zh-CN"/>
        </w:rPr>
        <w:t>类</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支出110.63万元，占4.70%；卫生健康支出（类）支出44.26万元，占1.88%；住房保障支出（类）支出86.12万元，占3.66%。</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eastAsia" w:ascii="楷体" w:hAnsi="楷体" w:eastAsia="楷体" w:cs="楷体"/>
          <w:b w:val="0"/>
          <w:bCs/>
          <w:sz w:val="32"/>
          <w:szCs w:val="32"/>
          <w:highlight w:val="none"/>
        </w:rPr>
      </w:pPr>
      <w:r>
        <w:rPr>
          <w:rFonts w:hint="eastAsia" w:ascii="楷体" w:hAnsi="楷体" w:eastAsia="楷体" w:cs="楷体"/>
          <w:b w:val="0"/>
          <w:bCs/>
          <w:sz w:val="32"/>
          <w:szCs w:val="32"/>
          <w:highlight w:val="none"/>
        </w:rPr>
        <w:t>（三）一般公共预算财政拨款支出决算具体情况</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年度财政拨款支出年初预算数为2287.56万元，支出决算数为2353.45万元，完成年初预算的102.88%，其中：</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1、一般公共服务（类）市场监督管理事务（款）事业运行（项）。</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年初预算为2019.67万元，支出决算为2039.17万元，完成年初预算的100.97%，决算数大于年初预算数的主要原因是：</w:t>
      </w:r>
      <w:r>
        <w:rPr>
          <w:rFonts w:hint="eastAsia" w:ascii="Times New Roman" w:hAnsi="Times New Roman" w:eastAsia="仿宋_GB2312"/>
          <w:sz w:val="32"/>
          <w:szCs w:val="32"/>
          <w:highlight w:val="none"/>
          <w:lang w:eastAsia="zh-CN"/>
        </w:rPr>
        <w:t>人员经费</w:t>
      </w:r>
      <w:r>
        <w:rPr>
          <w:rFonts w:hint="eastAsia" w:ascii="Times New Roman" w:hAnsi="Times New Roman" w:eastAsia="仿宋_GB2312"/>
          <w:sz w:val="32"/>
          <w:szCs w:val="32"/>
          <w:highlight w:val="none"/>
          <w:lang w:val="en-US" w:eastAsia="zh-CN"/>
        </w:rPr>
        <w:t>项目增加。</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、一般公共服务（类）市场监督管理事务（款）其他市场监督管理事务（项）。</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年初预算为28.26万元，支出决算为73.26万元，完成年初预算的</w:t>
      </w:r>
      <w:r>
        <w:rPr>
          <w:rFonts w:hint="eastAsia" w:ascii="Times New Roman" w:hAnsi="Times New Roman" w:eastAsia="仿宋_GB2312"/>
          <w:sz w:val="32"/>
          <w:szCs w:val="32"/>
          <w:highlight w:val="none"/>
          <w:lang w:val="en-US" w:eastAsia="zh-CN"/>
        </w:rPr>
        <w:t>259.24%</w:t>
      </w:r>
      <w:r>
        <w:rPr>
          <w:rFonts w:hint="eastAsia" w:ascii="Times New Roman" w:hAnsi="Times New Roman" w:eastAsia="仿宋_GB2312"/>
          <w:sz w:val="32"/>
          <w:szCs w:val="32"/>
          <w:highlight w:val="none"/>
        </w:rPr>
        <w:t>，决算数大于年初预算数的主要原因是：</w:t>
      </w:r>
      <w:r>
        <w:rPr>
          <w:rFonts w:hint="eastAsia" w:ascii="Times New Roman" w:hAnsi="Times New Roman" w:eastAsia="仿宋_GB2312"/>
          <w:sz w:val="32"/>
          <w:szCs w:val="32"/>
          <w:highlight w:val="none"/>
          <w:lang w:eastAsia="zh-CN"/>
        </w:rPr>
        <w:t>年中增加中非经贸论坛</w:t>
      </w:r>
      <w:r>
        <w:rPr>
          <w:rFonts w:hint="eastAsia" w:ascii="Times New Roman" w:hAnsi="Times New Roman" w:eastAsia="仿宋_GB2312"/>
          <w:sz w:val="32"/>
          <w:szCs w:val="32"/>
          <w:highlight w:val="none"/>
        </w:rPr>
        <w:t>项</w:t>
      </w:r>
      <w:r>
        <w:rPr>
          <w:rFonts w:hint="eastAsia" w:ascii="Times New Roman" w:hAnsi="Times New Roman" w:eastAsia="仿宋_GB2312"/>
          <w:sz w:val="32"/>
          <w:szCs w:val="32"/>
          <w:highlight w:val="none"/>
          <w:lang w:eastAsia="zh-CN"/>
        </w:rPr>
        <w:t>目</w:t>
      </w:r>
      <w:r>
        <w:rPr>
          <w:rFonts w:hint="eastAsia" w:ascii="Times New Roman" w:hAnsi="Times New Roman" w:eastAsia="仿宋_GB2312"/>
          <w:sz w:val="32"/>
          <w:szCs w:val="32"/>
          <w:highlight w:val="none"/>
        </w:rPr>
        <w:t>。</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、社会保障和就业支出（类）行政事业单位养老支出（款）事业单位离退休（项）。</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rPr>
        <w:t>年初预算为39.34万元，支出决算为36.37万元，完成年初预算的</w:t>
      </w:r>
      <w:r>
        <w:rPr>
          <w:rFonts w:hint="eastAsia" w:ascii="Times New Roman" w:hAnsi="Times New Roman" w:eastAsia="仿宋_GB2312"/>
          <w:sz w:val="32"/>
          <w:szCs w:val="32"/>
          <w:highlight w:val="none"/>
          <w:lang w:val="en-US" w:eastAsia="zh-CN"/>
        </w:rPr>
        <w:t>92.45%</w:t>
      </w:r>
      <w:r>
        <w:rPr>
          <w:rFonts w:hint="eastAsia" w:ascii="Times New Roman" w:hAnsi="Times New Roman" w:eastAsia="仿宋_GB2312"/>
          <w:sz w:val="32"/>
          <w:szCs w:val="32"/>
          <w:highlight w:val="none"/>
        </w:rPr>
        <w:t>，决算数小于年初预算数的主要原因是：积极响应国家厉行节约精神</w:t>
      </w:r>
      <w:r>
        <w:rPr>
          <w:rFonts w:hint="eastAsia" w:ascii="Times New Roman" w:hAnsi="Times New Roman" w:eastAsia="仿宋_GB2312"/>
          <w:sz w:val="32"/>
          <w:szCs w:val="32"/>
          <w:highlight w:val="none"/>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rPr>
        <w:t>、社会保障和就业支出（类）行政事业单位养老支出（款）机关事业单位基本养老保险缴费支出（项）。</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年初预算为56.78万元，支出决算为63.92万元，完成年初预算的112.57%，决算数大于年初预算数的主要原因是：</w:t>
      </w:r>
      <w:r>
        <w:rPr>
          <w:rFonts w:hint="eastAsia" w:ascii="Times New Roman" w:hAnsi="Times New Roman" w:eastAsia="仿宋_GB2312"/>
          <w:sz w:val="32"/>
          <w:szCs w:val="32"/>
          <w:highlight w:val="none"/>
          <w:lang w:val="en-US" w:eastAsia="zh-CN"/>
        </w:rPr>
        <w:t>人员增加。</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5</w:t>
      </w:r>
      <w:r>
        <w:rPr>
          <w:rFonts w:hint="eastAsia" w:ascii="Times New Roman" w:hAnsi="Times New Roman" w:eastAsia="仿宋_GB2312"/>
          <w:sz w:val="32"/>
          <w:szCs w:val="32"/>
          <w:highlight w:val="none"/>
        </w:rPr>
        <w:t>、社会保障和就业支出（类）其他社会保障和就业支出（款）其他社会保障和就业支出（项）。</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default" w:ascii="Times New Roman" w:hAnsi="Times New Roman" w:eastAsia="仿宋_GB2312"/>
          <w:sz w:val="32"/>
          <w:szCs w:val="32"/>
          <w:highlight w:val="none"/>
          <w:lang w:val="en"/>
        </w:rPr>
      </w:pPr>
      <w:r>
        <w:rPr>
          <w:rFonts w:hint="eastAsia" w:ascii="Times New Roman" w:hAnsi="Times New Roman" w:eastAsia="仿宋_GB2312"/>
          <w:sz w:val="32"/>
          <w:szCs w:val="32"/>
          <w:highlight w:val="none"/>
        </w:rPr>
        <w:t>年初预算为10.34万元，支出决算为10.34万元，完成年初预算的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%，决算数等于年初预算数的主要原因是收支基本持平</w:t>
      </w:r>
      <w:r>
        <w:rPr>
          <w:rFonts w:hint="default" w:ascii="Times New Roman" w:hAnsi="Times New Roman" w:eastAsia="仿宋_GB2312"/>
          <w:sz w:val="32"/>
          <w:szCs w:val="32"/>
          <w:highlight w:val="none"/>
          <w:lang w:val="en"/>
        </w:rPr>
        <w:t>。</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6、卫生健康支出（类）行政事业单位医疗（款）事业单位医疗（项）。</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年初预算为47.05万元，支出决算为44.26万元，完成年初预算的94.07%，决算数小于年初预算数的主要原因是：积极响应国家厉行节约精神。</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7、住房保障支出（类）住房改革支出（款）住房公积金（项）。</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default" w:ascii="Times New Roman" w:hAnsi="Times New Roman" w:eastAsia="仿宋_GB2312"/>
          <w:sz w:val="32"/>
          <w:szCs w:val="32"/>
          <w:highlight w:val="yellow"/>
          <w:lang w:val="en" w:eastAsia="zh-CN"/>
        </w:rPr>
      </w:pPr>
      <w:r>
        <w:rPr>
          <w:rFonts w:hint="eastAsia" w:ascii="Times New Roman" w:hAnsi="Times New Roman" w:eastAsia="仿宋_GB2312"/>
          <w:sz w:val="32"/>
          <w:szCs w:val="32"/>
          <w:highlight w:val="none"/>
          <w:lang w:val="en-US" w:eastAsia="zh-CN"/>
        </w:rPr>
        <w:t>年初预算为86.12万元，支出决算为86.12万元，完成年初预算的100%，决算数等于年初预算数的主要原因是收支基本持平</w:t>
      </w:r>
      <w:r>
        <w:rPr>
          <w:rFonts w:hint="default" w:ascii="Times New Roman" w:hAnsi="Times New Roman" w:eastAsia="仿宋_GB2312"/>
          <w:sz w:val="32"/>
          <w:szCs w:val="32"/>
          <w:highlight w:val="none"/>
          <w:lang w:val="en" w:eastAsia="zh-CN"/>
        </w:rPr>
        <w:t>。</w:t>
      </w:r>
    </w:p>
    <w:p>
      <w:pPr>
        <w:pStyle w:val="14"/>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年度财政拨款基本支出2290.43万元，其中：</w:t>
      </w:r>
    </w:p>
    <w:p>
      <w:pPr>
        <w:pStyle w:val="14"/>
        <w:keepNext w:val="0"/>
        <w:keepLines w:val="0"/>
        <w:pageBreakBefore w:val="0"/>
        <w:widowControl w:val="0"/>
        <w:kinsoku/>
        <w:wordWrap/>
        <w:overflowPunct/>
        <w:topLinePunct w:val="0"/>
        <w:bidi w:val="0"/>
        <w:snapToGrid/>
        <w:spacing w:line="600" w:lineRule="exact"/>
        <w:ind w:firstLine="642" w:firstLineChars="200"/>
        <w:jc w:val="both"/>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b/>
          <w:bCs/>
          <w:sz w:val="32"/>
          <w:szCs w:val="32"/>
          <w:highlight w:val="none"/>
        </w:rPr>
        <w:t>人员经费</w:t>
      </w:r>
      <w:r>
        <w:rPr>
          <w:rFonts w:hint="eastAsia" w:ascii="Times New Roman" w:hAnsi="Times New Roman" w:eastAsia="仿宋_GB2312"/>
          <w:sz w:val="32"/>
          <w:szCs w:val="32"/>
          <w:highlight w:val="none"/>
        </w:rPr>
        <w:t>987.27万元，占基本支出的43.10%</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主要包括基本工资、津贴补贴、奖金、伙食补助费</w:t>
      </w:r>
      <w:r>
        <w:rPr>
          <w:rFonts w:hint="eastAsia" w:ascii="Times New Roman" w:hAnsi="Times New Roman" w:eastAsia="仿宋_GB2312"/>
          <w:sz w:val="32"/>
          <w:szCs w:val="32"/>
          <w:highlight w:val="none"/>
          <w:lang w:eastAsia="zh-CN"/>
        </w:rPr>
        <w:t>、绩效工资、机关事业单位基本养老保险缴费、职工基本医疗保险缴费、其他社会保障缴费、住房公积金、退休费、其他对个人和家庭的补助。</w:t>
      </w:r>
    </w:p>
    <w:p>
      <w:pPr>
        <w:pStyle w:val="14"/>
        <w:keepNext w:val="0"/>
        <w:keepLines w:val="0"/>
        <w:pageBreakBefore w:val="0"/>
        <w:widowControl w:val="0"/>
        <w:kinsoku/>
        <w:wordWrap/>
        <w:overflowPunct/>
        <w:topLinePunct w:val="0"/>
        <w:bidi w:val="0"/>
        <w:snapToGrid/>
        <w:spacing w:line="600" w:lineRule="exact"/>
        <w:ind w:firstLine="642" w:firstLineChars="200"/>
        <w:jc w:val="both"/>
        <w:textAlignment w:val="auto"/>
        <w:rPr>
          <w:rFonts w:hint="default" w:ascii="Times New Roman" w:hAnsi="Times New Roman" w:eastAsia="仿宋_GB2312"/>
          <w:b/>
          <w:sz w:val="32"/>
          <w:szCs w:val="32"/>
          <w:highlight w:val="none"/>
          <w:lang w:val="en-US" w:eastAsia="zh-CN"/>
        </w:rPr>
      </w:pPr>
      <w:r>
        <w:rPr>
          <w:rFonts w:hint="eastAsia" w:ascii="Times New Roman" w:hAnsi="Times New Roman" w:eastAsia="仿宋_GB2312"/>
          <w:b/>
          <w:bCs/>
          <w:sz w:val="32"/>
          <w:szCs w:val="32"/>
          <w:highlight w:val="none"/>
        </w:rPr>
        <w:t>公用经费</w:t>
      </w:r>
      <w:r>
        <w:rPr>
          <w:rFonts w:hint="eastAsia" w:ascii="Times New Roman" w:hAnsi="Times New Roman" w:eastAsia="仿宋_GB2312"/>
          <w:sz w:val="32"/>
          <w:szCs w:val="32"/>
          <w:highlight w:val="none"/>
        </w:rPr>
        <w:t>1303.16万元，占基本支出的56.90%，主要包括办公费、印刷费、差旅费</w:t>
      </w:r>
      <w:r>
        <w:rPr>
          <w:rFonts w:hint="eastAsia" w:ascii="Times New Roman" w:hAnsi="Times New Roman" w:eastAsia="仿宋_GB2312"/>
          <w:sz w:val="32"/>
          <w:szCs w:val="32"/>
          <w:highlight w:val="none"/>
          <w:lang w:eastAsia="zh-CN"/>
        </w:rPr>
        <w:t>、维修（护）费、会议费、</w:t>
      </w:r>
      <w:r>
        <w:rPr>
          <w:rFonts w:hint="eastAsia" w:ascii="Times New Roman" w:hAnsi="Times New Roman" w:eastAsia="仿宋_GB2312"/>
          <w:sz w:val="32"/>
          <w:szCs w:val="32"/>
          <w:highlight w:val="none"/>
          <w:lang w:val="en-US" w:eastAsia="zh-CN"/>
        </w:rPr>
        <w:t>培训费、公务接待费、劳务费、工会经费、公务用车运行维护费、其他商品和服务支出。</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七、财政拨款三公经费支出决算情况说明</w:t>
      </w:r>
    </w:p>
    <w:p>
      <w:pPr>
        <w:pStyle w:val="14"/>
        <w:keepNext w:val="0"/>
        <w:keepLines w:val="0"/>
        <w:pageBreakBefore w:val="0"/>
        <w:widowControl w:val="0"/>
        <w:kinsoku/>
        <w:wordWrap/>
        <w:overflowPunct/>
        <w:topLinePunct w:val="0"/>
        <w:bidi w:val="0"/>
        <w:snapToGrid/>
        <w:spacing w:line="600" w:lineRule="exact"/>
        <w:ind w:firstLine="642" w:firstLineChars="200"/>
        <w:jc w:val="both"/>
        <w:textAlignment w:val="auto"/>
        <w:rPr>
          <w:rFonts w:hint="eastAsia" w:ascii="楷体" w:hAnsi="楷体" w:eastAsia="楷体" w:cs="楷体"/>
          <w:b/>
          <w:bCs w:val="0"/>
          <w:sz w:val="32"/>
          <w:szCs w:val="32"/>
          <w:highlight w:val="none"/>
        </w:rPr>
      </w:pPr>
      <w:r>
        <w:rPr>
          <w:rFonts w:hint="eastAsia" w:ascii="楷体" w:hAnsi="楷体" w:eastAsia="楷体" w:cs="楷体"/>
          <w:b/>
          <w:bCs w:val="0"/>
          <w:sz w:val="32"/>
          <w:szCs w:val="32"/>
          <w:highlight w:val="none"/>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“三公”经费财政拨款支出预算为34.86万元，支出决算为34.86万元，完成预算的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%，决算数等于年初预算数的主要原因是收支基本持平</w:t>
      </w:r>
      <w:r>
        <w:rPr>
          <w:rFonts w:hint="default" w:ascii="Times New Roman" w:hAnsi="Times New Roman" w:eastAsia="仿宋_GB2312"/>
          <w:sz w:val="32"/>
          <w:szCs w:val="32"/>
          <w:highlight w:val="none"/>
          <w:lang w:val="en"/>
        </w:rPr>
        <w:t>。</w:t>
      </w:r>
      <w:r>
        <w:rPr>
          <w:rFonts w:hint="eastAsia" w:ascii="Times New Roman" w:hAnsi="Times New Roman" w:eastAsia="仿宋_GB2312"/>
          <w:sz w:val="32"/>
          <w:szCs w:val="32"/>
          <w:highlight w:val="none"/>
        </w:rPr>
        <w:t>其中：</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eastAsia" w:ascii="Times New Roman" w:hAnsi="Times New Roman" w:eastAsia="仿宋_GB2312"/>
          <w:sz w:val="32"/>
          <w:szCs w:val="32"/>
          <w:highlight w:val="yellow"/>
        </w:rPr>
      </w:pPr>
      <w:r>
        <w:rPr>
          <w:rFonts w:hint="eastAsia" w:ascii="Times New Roman" w:hAnsi="Times New Roman" w:eastAsia="仿宋_GB2312"/>
          <w:sz w:val="32"/>
          <w:szCs w:val="32"/>
          <w:highlight w:val="none"/>
        </w:rPr>
        <w:t>因公出国（境）费支出预算为0万元，支出决算为0万元，上年度、本年度均无此项预算和支出。</w:t>
      </w:r>
    </w:p>
    <w:p>
      <w:pPr>
        <w:pStyle w:val="14"/>
        <w:keepNext w:val="0"/>
        <w:keepLines w:val="0"/>
        <w:pageBreakBefore w:val="0"/>
        <w:widowControl w:val="0"/>
        <w:kinsoku/>
        <w:wordWrap/>
        <w:overflowPunct/>
        <w:topLinePunct w:val="0"/>
        <w:bidi w:val="0"/>
        <w:snapToGrid/>
        <w:spacing w:line="600" w:lineRule="exact"/>
        <w:ind w:firstLine="800" w:firstLineChars="25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公务接待费支出预算为0.11万元，支出决算为0.11万元，完成预算的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%，与上年相比减少</w:t>
      </w:r>
      <w:r>
        <w:rPr>
          <w:rFonts w:hint="eastAsia" w:ascii="Times New Roman" w:hAnsi="Times New Roman" w:eastAsia="仿宋_GB2312"/>
          <w:sz w:val="32"/>
          <w:szCs w:val="32"/>
          <w:highlight w:val="none"/>
          <w:lang w:val="en-US" w:eastAsia="zh-CN"/>
        </w:rPr>
        <w:t>0.16</w:t>
      </w:r>
      <w:r>
        <w:rPr>
          <w:rFonts w:hint="eastAsia" w:ascii="Times New Roman" w:hAnsi="Times New Roman" w:eastAsia="仿宋_GB2312"/>
          <w:sz w:val="32"/>
          <w:szCs w:val="32"/>
          <w:highlight w:val="none"/>
        </w:rPr>
        <w:t>万元，减少59.26%</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减少的主要原因是厉行节约，</w:t>
      </w:r>
      <w:r>
        <w:rPr>
          <w:rFonts w:hint="eastAsia" w:ascii="Times New Roman" w:hAnsi="Times New Roman" w:eastAsia="仿宋_GB2312"/>
          <w:sz w:val="32"/>
          <w:szCs w:val="32"/>
          <w:highlight w:val="none"/>
          <w:lang w:val="en-US" w:eastAsia="zh-CN"/>
        </w:rPr>
        <w:t>压缩单位</w:t>
      </w:r>
      <w:r>
        <w:rPr>
          <w:rFonts w:hint="eastAsia" w:ascii="Times New Roman" w:hAnsi="Times New Roman" w:eastAsia="仿宋_GB2312"/>
          <w:sz w:val="32"/>
          <w:szCs w:val="32"/>
          <w:highlight w:val="none"/>
        </w:rPr>
        <w:t>“三公”经费支出。</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公务用车购置费支出预算为24.98万元，支出决算为24.98万元，完成预算的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%，与上年相比增加24.98万元，增长</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增长的主要原因是</w:t>
      </w:r>
      <w:r>
        <w:rPr>
          <w:rFonts w:hint="eastAsia" w:ascii="Times New Roman" w:hAnsi="Times New Roman" w:eastAsia="仿宋_GB2312"/>
          <w:color w:val="auto"/>
          <w:sz w:val="32"/>
          <w:szCs w:val="32"/>
          <w:highlight w:val="none"/>
          <w:shd w:val="clear" w:color="auto" w:fill="auto"/>
          <w:lang w:eastAsia="zh-CN"/>
        </w:rPr>
        <w:t>工作需要购置了一台新车</w:t>
      </w:r>
      <w:r>
        <w:rPr>
          <w:rFonts w:hint="eastAsia" w:ascii="Times New Roman" w:hAnsi="Times New Roman" w:eastAsia="仿宋_GB2312"/>
          <w:sz w:val="32"/>
          <w:szCs w:val="32"/>
          <w:highlight w:val="none"/>
        </w:rPr>
        <w:t>。</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公务用车运行维护费支出预算为9.77万元，支出决算为9.77万元，完成预算的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%，决</w:t>
      </w:r>
      <w:r>
        <w:rPr>
          <w:rFonts w:hint="eastAsia" w:ascii="Times New Roman" w:hAnsi="Times New Roman" w:eastAsia="仿宋_GB2312"/>
          <w:sz w:val="32"/>
          <w:szCs w:val="32"/>
          <w:highlight w:val="none"/>
          <w:lang w:val="en-US" w:eastAsia="zh-CN"/>
        </w:rPr>
        <w:t>算</w:t>
      </w:r>
      <w:r>
        <w:rPr>
          <w:rFonts w:hint="eastAsia" w:ascii="Times New Roman" w:hAnsi="Times New Roman" w:eastAsia="仿宋_GB2312"/>
          <w:sz w:val="32"/>
          <w:szCs w:val="32"/>
          <w:highlight w:val="none"/>
        </w:rPr>
        <w:t>与上年相比增加9.77万元，增长</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增长的主要原因是</w:t>
      </w:r>
      <w:r>
        <w:rPr>
          <w:rFonts w:hint="eastAsia" w:ascii="Times New Roman" w:hAnsi="Times New Roman" w:eastAsia="仿宋_GB2312"/>
          <w:sz w:val="32"/>
          <w:szCs w:val="32"/>
          <w:highlight w:val="none"/>
          <w:lang w:eastAsia="zh-CN"/>
        </w:rPr>
        <w:t>上年单位无公车，因此无此项开支</w:t>
      </w:r>
      <w:r>
        <w:rPr>
          <w:rFonts w:hint="eastAsia" w:ascii="Times New Roman" w:hAnsi="Times New Roman" w:eastAsia="仿宋_GB2312"/>
          <w:sz w:val="32"/>
          <w:szCs w:val="32"/>
          <w:highlight w:val="none"/>
        </w:rPr>
        <w:t>。</w:t>
      </w:r>
    </w:p>
    <w:p>
      <w:pPr>
        <w:pStyle w:val="14"/>
        <w:keepNext w:val="0"/>
        <w:keepLines w:val="0"/>
        <w:pageBreakBefore w:val="0"/>
        <w:widowControl w:val="0"/>
        <w:kinsoku/>
        <w:wordWrap/>
        <w:overflowPunct/>
        <w:topLinePunct w:val="0"/>
        <w:bidi w:val="0"/>
        <w:snapToGrid/>
        <w:spacing w:line="600" w:lineRule="exact"/>
        <w:ind w:firstLine="642" w:firstLineChars="200"/>
        <w:jc w:val="both"/>
        <w:textAlignment w:val="auto"/>
        <w:rPr>
          <w:rFonts w:hint="eastAsia" w:ascii="楷体" w:hAnsi="楷体" w:eastAsia="楷体" w:cs="楷体"/>
          <w:b/>
          <w:bCs w:val="0"/>
          <w:sz w:val="32"/>
          <w:szCs w:val="32"/>
          <w:highlight w:val="none"/>
        </w:rPr>
      </w:pPr>
      <w:r>
        <w:rPr>
          <w:rFonts w:hint="eastAsia" w:ascii="楷体" w:hAnsi="楷体" w:eastAsia="楷体" w:cs="楷体"/>
          <w:b/>
          <w:bCs w:val="0"/>
          <w:sz w:val="32"/>
          <w:szCs w:val="32"/>
          <w:highlight w:val="none"/>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年度“三公”经费财政拨款支出决算中，公务接待费支出决算0.11万元，占0.32%</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因公出国（境）费支出决算</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公务用车购置费及运行维护费支出决算34.75万元，占99.68%。其中：</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jc w:val="both"/>
        <w:textAlignment w:val="auto"/>
        <w:rPr>
          <w:rFonts w:hint="default" w:ascii="Times New Roman" w:hAnsi="Times New Roman" w:eastAsia="仿宋_GB2312"/>
          <w:b/>
          <w:sz w:val="32"/>
          <w:szCs w:val="32"/>
          <w:highlight w:val="none"/>
          <w:lang w:val="en-US" w:eastAsia="zh-CN"/>
        </w:rPr>
      </w:pP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rPr>
        <w:t>因公出国（境）费支出决算为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万元，全年安排因公出国（境）团组</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个，累计</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人次</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未开展因公出国（境）活动。</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2、公务接待费支出决算为0.11万元，全年共接待来访团组</w:t>
      </w:r>
      <w:r>
        <w:rPr>
          <w:rFonts w:hint="eastAsia" w:ascii="Times New Roman" w:hAnsi="Times New Roman" w:eastAsia="仿宋_GB2312"/>
          <w:sz w:val="32"/>
          <w:szCs w:val="32"/>
          <w:highlight w:val="none"/>
          <w:lang w:val="en-US" w:eastAsia="zh-CN"/>
        </w:rPr>
        <w:t>5</w:t>
      </w:r>
      <w:r>
        <w:rPr>
          <w:rFonts w:hint="eastAsia" w:ascii="Times New Roman" w:hAnsi="Times New Roman" w:eastAsia="仿宋_GB2312"/>
          <w:sz w:val="32"/>
          <w:szCs w:val="32"/>
          <w:highlight w:val="none"/>
        </w:rPr>
        <w:t>个、来宾</w:t>
      </w:r>
      <w:r>
        <w:rPr>
          <w:rFonts w:hint="eastAsia" w:ascii="Times New Roman" w:hAnsi="Times New Roman" w:eastAsia="仿宋_GB2312"/>
          <w:sz w:val="32"/>
          <w:szCs w:val="32"/>
          <w:highlight w:val="none"/>
          <w:lang w:val="en-US" w:eastAsia="zh-CN"/>
        </w:rPr>
        <w:t>10</w:t>
      </w:r>
      <w:r>
        <w:rPr>
          <w:rFonts w:hint="eastAsia" w:ascii="Times New Roman" w:hAnsi="Times New Roman" w:eastAsia="仿宋_GB2312"/>
          <w:sz w:val="32"/>
          <w:szCs w:val="32"/>
          <w:highlight w:val="none"/>
        </w:rPr>
        <w:t>人次，主要是布置2023</w:t>
      </w:r>
      <w:r>
        <w:rPr>
          <w:rFonts w:hint="eastAsia" w:ascii="Times New Roman" w:hAnsi="Times New Roman" w:eastAsia="仿宋_GB2312"/>
          <w:sz w:val="32"/>
          <w:szCs w:val="32"/>
          <w:highlight w:val="none"/>
          <w:lang w:val="en-US" w:eastAsia="zh-CN"/>
        </w:rPr>
        <w:t>年</w:t>
      </w:r>
      <w:r>
        <w:rPr>
          <w:rFonts w:hint="eastAsia" w:ascii="Times New Roman" w:hAnsi="Times New Roman" w:eastAsia="仿宋_GB2312"/>
          <w:sz w:val="32"/>
          <w:szCs w:val="32"/>
          <w:highlight w:val="none"/>
        </w:rPr>
        <w:t>主要工作</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全省个私指导服务工作发生的接待支出。</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3、公务用车购置费及运行维护费支出决算为</w:t>
      </w:r>
      <w:r>
        <w:rPr>
          <w:rFonts w:hint="eastAsia" w:ascii="Times New Roman" w:hAnsi="Times New Roman" w:eastAsia="仿宋_GB2312"/>
          <w:sz w:val="32"/>
          <w:szCs w:val="32"/>
          <w:highlight w:val="none"/>
          <w:lang w:val="en-US" w:eastAsia="zh-CN"/>
        </w:rPr>
        <w:t>34.75</w:t>
      </w:r>
      <w:r>
        <w:rPr>
          <w:rFonts w:hint="eastAsia" w:ascii="Times New Roman" w:hAnsi="Times New Roman" w:eastAsia="仿宋_GB2312"/>
          <w:sz w:val="32"/>
          <w:szCs w:val="32"/>
          <w:highlight w:val="none"/>
        </w:rPr>
        <w:t>万元，其中：公务用车购置费24.98万元，湖南省市场监管事务中心单位本级更新公务用车</w:t>
      </w: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rPr>
        <w:t>辆</w:t>
      </w:r>
      <w:r>
        <w:rPr>
          <w:rFonts w:hint="eastAsia" w:ascii="Times New Roman" w:hAnsi="Times New Roman" w:eastAsia="仿宋_GB2312"/>
          <w:color w:val="000000" w:themeColor="text1"/>
          <w:sz w:val="32"/>
          <w:szCs w:val="32"/>
          <w:highlight w:val="none"/>
          <w14:textFill>
            <w14:solidFill>
              <w14:schemeClr w14:val="tx1"/>
            </w14:solidFill>
          </w14:textFill>
        </w:rPr>
        <w:t>。</w:t>
      </w:r>
      <w:r>
        <w:rPr>
          <w:rFonts w:hint="eastAsia" w:ascii="Times New Roman" w:hAnsi="Times New Roman" w:eastAsia="仿宋_GB2312"/>
          <w:sz w:val="32"/>
          <w:szCs w:val="32"/>
          <w:highlight w:val="none"/>
        </w:rPr>
        <w:t>公务用车运行维护费9.77万元，主要是</w:t>
      </w:r>
      <w:r>
        <w:rPr>
          <w:rFonts w:hint="eastAsia" w:ascii="Times New Roman" w:hAnsi="Times New Roman" w:eastAsia="仿宋_GB2312"/>
          <w:sz w:val="32"/>
          <w:szCs w:val="32"/>
          <w:highlight w:val="none"/>
          <w:lang w:val="en-US" w:eastAsia="zh-CN"/>
        </w:rPr>
        <w:t>油费、保险费等</w:t>
      </w:r>
      <w:r>
        <w:rPr>
          <w:rFonts w:hint="eastAsia" w:ascii="Times New Roman" w:hAnsi="Times New Roman" w:eastAsia="仿宋_GB2312"/>
          <w:sz w:val="32"/>
          <w:szCs w:val="32"/>
          <w:highlight w:val="none"/>
        </w:rPr>
        <w:t>支出，截止202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年12月31日，我单位开支财政拨款的公务用车保有量为</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辆。</w:t>
      </w:r>
    </w:p>
    <w:p>
      <w:pPr>
        <w:pStyle w:val="14"/>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八、政府性基金预算收入支出决算情况</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default" w:ascii="Times New Roman" w:hAnsi="Times New Roman" w:eastAsia="仿宋_GB2312"/>
          <w:sz w:val="32"/>
          <w:szCs w:val="32"/>
          <w:highlight w:val="none"/>
          <w:lang w:val="en"/>
        </w:rPr>
      </w:pPr>
      <w:r>
        <w:rPr>
          <w:rFonts w:hint="eastAsia" w:ascii="Times New Roman" w:hAnsi="Times New Roman" w:eastAsia="仿宋_GB2312"/>
          <w:sz w:val="32"/>
          <w:szCs w:val="32"/>
          <w:highlight w:val="none"/>
        </w:rPr>
        <w:t>本单位无政府性基金收支</w:t>
      </w:r>
      <w:r>
        <w:rPr>
          <w:rFonts w:hint="default" w:ascii="Times New Roman" w:hAnsi="Times New Roman" w:eastAsia="仿宋_GB2312"/>
          <w:sz w:val="32"/>
          <w:szCs w:val="32"/>
          <w:highlight w:val="none"/>
          <w:lang w:val="en"/>
        </w:rPr>
        <w:t>。</w:t>
      </w:r>
    </w:p>
    <w:p>
      <w:pPr>
        <w:pStyle w:val="14"/>
        <w:keepNext w:val="0"/>
        <w:keepLines w:val="0"/>
        <w:pageBreakBefore w:val="0"/>
        <w:widowControl w:val="0"/>
        <w:kinsoku/>
        <w:wordWrap/>
        <w:overflowPunct/>
        <w:topLinePunct w:val="0"/>
        <w:bidi w:val="0"/>
        <w:snapToGrid/>
        <w:spacing w:line="600" w:lineRule="exact"/>
        <w:ind w:firstLine="642" w:firstLineChars="200"/>
        <w:jc w:val="both"/>
        <w:textAlignment w:val="auto"/>
        <w:rPr>
          <w:rFonts w:ascii="Times New Roman" w:hAnsi="Times New Roman" w:eastAsia="仿宋_GB2312"/>
          <w:b/>
          <w:color w:val="auto"/>
          <w:sz w:val="32"/>
          <w:szCs w:val="32"/>
          <w:highlight w:val="none"/>
        </w:rPr>
      </w:pPr>
      <w:r>
        <w:rPr>
          <w:rFonts w:hint="eastAsia" w:ascii="Times New Roman" w:hAnsi="Times New Roman" w:eastAsia="仿宋_GB2312"/>
          <w:b/>
          <w:color w:val="auto"/>
          <w:sz w:val="32"/>
          <w:szCs w:val="32"/>
          <w:highlight w:val="none"/>
        </w:rPr>
        <w:t>九、关于机关运行经费支出说明</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本</w:t>
      </w:r>
      <w:r>
        <w:rPr>
          <w:rFonts w:hint="eastAsia" w:ascii="Times New Roman" w:hAnsi="Times New Roman" w:eastAsia="仿宋_GB2312"/>
          <w:sz w:val="32"/>
          <w:szCs w:val="32"/>
          <w:highlight w:val="none"/>
          <w:lang w:eastAsia="zh-CN"/>
        </w:rPr>
        <w:t>单位</w:t>
      </w: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年度机关运行经费支出1303.1</w:t>
      </w: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sz w:val="32"/>
          <w:szCs w:val="32"/>
          <w:highlight w:val="none"/>
        </w:rPr>
        <w:t>万元，比上年决算数增加17.69万元，增长1.38%。主要原因是：单位人员新增。</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十、一般性支出情况说明</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年本</w:t>
      </w:r>
      <w:r>
        <w:rPr>
          <w:rFonts w:hint="eastAsia" w:ascii="Times New Roman" w:hAnsi="Times New Roman" w:eastAsia="仿宋_GB2312"/>
          <w:sz w:val="32"/>
          <w:szCs w:val="32"/>
          <w:highlight w:val="none"/>
          <w:lang w:eastAsia="zh-CN"/>
        </w:rPr>
        <w:t>单位</w:t>
      </w:r>
      <w:r>
        <w:rPr>
          <w:rFonts w:hint="eastAsia" w:ascii="Times New Roman" w:hAnsi="Times New Roman" w:eastAsia="仿宋_GB2312"/>
          <w:sz w:val="32"/>
          <w:szCs w:val="32"/>
          <w:highlight w:val="none"/>
        </w:rPr>
        <w:t>开支会议费1.95万元，用于召开</w:t>
      </w:r>
      <w:r>
        <w:rPr>
          <w:rFonts w:hint="eastAsia" w:ascii="Times New Roman" w:hAnsi="Times New Roman" w:eastAsia="仿宋_GB2312"/>
          <w:sz w:val="32"/>
          <w:szCs w:val="32"/>
          <w:highlight w:val="none"/>
          <w:lang w:val="en-US" w:eastAsia="zh-CN"/>
        </w:rPr>
        <w:t>工作</w:t>
      </w:r>
      <w:r>
        <w:rPr>
          <w:rFonts w:hint="eastAsia" w:ascii="Times New Roman" w:hAnsi="Times New Roman" w:eastAsia="仿宋_GB2312"/>
          <w:sz w:val="32"/>
          <w:szCs w:val="32"/>
          <w:highlight w:val="none"/>
        </w:rPr>
        <w:t>会议，人数</w:t>
      </w:r>
      <w:r>
        <w:rPr>
          <w:rFonts w:hint="eastAsia" w:ascii="Times New Roman" w:hAnsi="Times New Roman" w:eastAsia="仿宋_GB2312"/>
          <w:sz w:val="32"/>
          <w:szCs w:val="32"/>
          <w:highlight w:val="none"/>
          <w:lang w:val="en-US" w:eastAsia="zh-CN"/>
        </w:rPr>
        <w:t>45</w:t>
      </w:r>
      <w:r>
        <w:rPr>
          <w:rFonts w:hint="eastAsia" w:ascii="Times New Roman" w:hAnsi="Times New Roman" w:eastAsia="仿宋_GB2312"/>
          <w:sz w:val="32"/>
          <w:szCs w:val="32"/>
          <w:highlight w:val="none"/>
        </w:rPr>
        <w:t>人，内容为具体工作的开展；开支培训费2.18万元，用于开展</w:t>
      </w:r>
      <w:r>
        <w:rPr>
          <w:rFonts w:hint="eastAsia" w:ascii="Times New Roman" w:hAnsi="Times New Roman" w:eastAsia="仿宋_GB2312"/>
          <w:sz w:val="32"/>
          <w:szCs w:val="32"/>
          <w:highlight w:val="none"/>
          <w:lang w:val="en-US" w:eastAsia="zh-CN"/>
        </w:rPr>
        <w:t>业务</w:t>
      </w:r>
      <w:r>
        <w:rPr>
          <w:rFonts w:hint="eastAsia" w:ascii="Times New Roman" w:hAnsi="Times New Roman" w:eastAsia="仿宋_GB2312"/>
          <w:sz w:val="32"/>
          <w:szCs w:val="32"/>
          <w:highlight w:val="none"/>
        </w:rPr>
        <w:t>培训，人数</w:t>
      </w:r>
      <w:r>
        <w:rPr>
          <w:rFonts w:hint="eastAsia" w:ascii="Times New Roman" w:hAnsi="Times New Roman" w:eastAsia="仿宋_GB2312"/>
          <w:sz w:val="32"/>
          <w:szCs w:val="32"/>
          <w:highlight w:val="none"/>
          <w:lang w:val="en-US" w:eastAsia="zh-CN"/>
        </w:rPr>
        <w:t>35</w:t>
      </w:r>
      <w:r>
        <w:rPr>
          <w:rFonts w:hint="eastAsia" w:ascii="Times New Roman" w:hAnsi="Times New Roman" w:eastAsia="仿宋_GB2312"/>
          <w:sz w:val="32"/>
          <w:szCs w:val="32"/>
          <w:highlight w:val="none"/>
        </w:rPr>
        <w:t>人，内容为单位人员业务培训；举办</w:t>
      </w:r>
      <w:r>
        <w:rPr>
          <w:rFonts w:hint="eastAsia" w:ascii="Times New Roman" w:hAnsi="Times New Roman" w:eastAsia="仿宋_GB2312"/>
          <w:sz w:val="32"/>
          <w:szCs w:val="32"/>
          <w:highlight w:val="none"/>
          <w:lang w:val="en-US" w:eastAsia="zh-CN"/>
        </w:rPr>
        <w:t>0场</w:t>
      </w:r>
      <w:r>
        <w:rPr>
          <w:rFonts w:hint="eastAsia" w:ascii="Times New Roman" w:hAnsi="Times New Roman" w:eastAsia="仿宋_GB2312"/>
          <w:sz w:val="32"/>
          <w:szCs w:val="32"/>
          <w:highlight w:val="none"/>
        </w:rPr>
        <w:t>等节庆、晚会、论坛、赛事活动，开支</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w:t>
      </w:r>
    </w:p>
    <w:p>
      <w:pPr>
        <w:pStyle w:val="14"/>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十一、关于政府采购支出说明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both"/>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sz w:val="32"/>
          <w:szCs w:val="32"/>
          <w:highlight w:val="none"/>
        </w:rPr>
        <w:t>本</w:t>
      </w:r>
      <w:r>
        <w:rPr>
          <w:rFonts w:hint="eastAsia" w:ascii="Times New Roman" w:hAnsi="Times New Roman" w:eastAsia="仿宋_GB2312"/>
          <w:sz w:val="32"/>
          <w:szCs w:val="32"/>
          <w:highlight w:val="none"/>
          <w:lang w:eastAsia="zh-CN"/>
        </w:rPr>
        <w:t>单位</w:t>
      </w: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年度政府采购支出总额</w:t>
      </w:r>
      <w:r>
        <w:rPr>
          <w:rFonts w:hint="eastAsia" w:ascii="Times New Roman" w:hAnsi="Times New Roman" w:eastAsia="仿宋_GB2312"/>
          <w:sz w:val="32"/>
          <w:szCs w:val="32"/>
          <w:highlight w:val="none"/>
          <w:lang w:val="en-US" w:eastAsia="zh-CN"/>
        </w:rPr>
        <w:t>34.76</w:t>
      </w:r>
      <w:r>
        <w:rPr>
          <w:rFonts w:hint="eastAsia" w:ascii="Times New Roman" w:hAnsi="Times New Roman" w:eastAsia="仿宋_GB2312"/>
          <w:sz w:val="32"/>
          <w:szCs w:val="32"/>
          <w:highlight w:val="none"/>
        </w:rPr>
        <w:t>万元，其中：政府采购货物支出34.76万元、政府采购工程支出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万元、政府采购服务支出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万元。授予中小企业合同金额34.76万元，占政府采购支出总额的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%，其中：授予小微企业合同金额34.76万元，</w:t>
      </w:r>
      <w:r>
        <w:rPr>
          <w:rFonts w:hint="eastAsia" w:ascii="Times New Roman" w:hAnsi="Times New Roman" w:eastAsia="仿宋_GB2312"/>
          <w:color w:val="auto"/>
          <w:sz w:val="32"/>
          <w:szCs w:val="32"/>
          <w:highlight w:val="none"/>
        </w:rPr>
        <w:t>占</w:t>
      </w:r>
      <w:r>
        <w:rPr>
          <w:rFonts w:hint="eastAsia" w:ascii="Times New Roman" w:hAnsi="Times New Roman" w:eastAsia="仿宋_GB2312"/>
          <w:color w:val="auto"/>
          <w:sz w:val="32"/>
          <w:szCs w:val="32"/>
          <w:highlight w:val="none"/>
          <w:lang w:eastAsia="zh-CN"/>
        </w:rPr>
        <w:t>授予中小企业合同金额</w:t>
      </w:r>
      <w:r>
        <w:rPr>
          <w:rFonts w:hint="eastAsia" w:ascii="Times New Roman" w:hAnsi="Times New Roman" w:eastAsia="仿宋_GB2312"/>
          <w:color w:val="auto"/>
          <w:sz w:val="32"/>
          <w:szCs w:val="32"/>
          <w:highlight w:val="none"/>
        </w:rPr>
        <w:t>的</w:t>
      </w:r>
      <w:r>
        <w:rPr>
          <w:rFonts w:hint="eastAsia" w:ascii="Times New Roman" w:hAnsi="Times New Roman" w:eastAsia="仿宋_GB2312"/>
          <w:color w:val="auto"/>
          <w:sz w:val="32"/>
          <w:szCs w:val="32"/>
          <w:highlight w:val="none"/>
          <w:lang w:val="en-US" w:eastAsia="zh-CN"/>
        </w:rPr>
        <w:t>100</w:t>
      </w:r>
      <w:r>
        <w:rPr>
          <w:rFonts w:hint="eastAsia" w:ascii="Times New Roman" w:hAnsi="Times New Roman" w:eastAsia="仿宋_GB2312"/>
          <w:color w:val="auto"/>
          <w:sz w:val="32"/>
          <w:szCs w:val="32"/>
          <w:highlight w:val="none"/>
        </w:rPr>
        <w:t>%。货物采购授予中小企业合同金额占货物支出金额的</w:t>
      </w:r>
      <w:r>
        <w:rPr>
          <w:rFonts w:hint="eastAsia" w:ascii="Times New Roman" w:hAnsi="Times New Roman" w:eastAsia="仿宋_GB2312"/>
          <w:color w:val="auto"/>
          <w:sz w:val="32"/>
          <w:szCs w:val="32"/>
          <w:highlight w:val="none"/>
          <w:lang w:val="en-US" w:eastAsia="zh-CN"/>
        </w:rPr>
        <w:t>100</w:t>
      </w:r>
      <w:r>
        <w:rPr>
          <w:rFonts w:hint="eastAsia" w:ascii="Times New Roman" w:hAnsi="Times New Roman" w:eastAsia="仿宋_GB2312"/>
          <w:color w:val="auto"/>
          <w:sz w:val="32"/>
          <w:szCs w:val="32"/>
          <w:highlight w:val="none"/>
        </w:rPr>
        <w:t>%，工程采购授予中小企业合同金额占工程支出金额的0%，服务采购授予中小企业合同金额占服务支出金额的0%。</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both"/>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十二、关于国有资产占用情况说明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both"/>
        <w:textAlignment w:val="auto"/>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截至202</w:t>
      </w:r>
      <w:r>
        <w:rPr>
          <w:rFonts w:hint="eastAsia" w:ascii="Times New Roman" w:hAnsi="Times New Roman" w:eastAsia="仿宋_GB2312"/>
          <w:color w:val="auto"/>
          <w:sz w:val="32"/>
          <w:szCs w:val="32"/>
          <w:highlight w:val="none"/>
          <w:lang w:val="en-US" w:eastAsia="zh-CN"/>
        </w:rPr>
        <w:t>3</w:t>
      </w:r>
      <w:r>
        <w:rPr>
          <w:rFonts w:hint="eastAsia" w:ascii="Times New Roman" w:hAnsi="Times New Roman" w:eastAsia="仿宋_GB2312"/>
          <w:color w:val="auto"/>
          <w:sz w:val="32"/>
          <w:szCs w:val="32"/>
          <w:highlight w:val="none"/>
        </w:rPr>
        <w:t>年12月31日，</w:t>
      </w:r>
      <w:r>
        <w:rPr>
          <w:rFonts w:hint="eastAsia" w:ascii="Times New Roman" w:hAnsi="Times New Roman" w:eastAsia="仿宋_GB2312"/>
          <w:color w:val="auto"/>
          <w:sz w:val="32"/>
          <w:szCs w:val="32"/>
          <w:highlight w:val="none"/>
          <w:lang w:eastAsia="zh-CN"/>
        </w:rPr>
        <w:t>单位</w:t>
      </w:r>
      <w:r>
        <w:rPr>
          <w:rFonts w:hint="eastAsia" w:ascii="Times New Roman" w:hAnsi="Times New Roman" w:eastAsia="仿宋_GB2312"/>
          <w:color w:val="auto"/>
          <w:sz w:val="32"/>
          <w:szCs w:val="32"/>
          <w:highlight w:val="none"/>
        </w:rPr>
        <w:t>共有车辆</w:t>
      </w:r>
      <w:r>
        <w:rPr>
          <w:rFonts w:hint="eastAsia" w:ascii="Times New Roman" w:hAnsi="Times New Roman" w:eastAsia="仿宋_GB2312"/>
          <w:color w:val="auto"/>
          <w:sz w:val="32"/>
          <w:szCs w:val="32"/>
          <w:highlight w:val="none"/>
          <w:lang w:val="en-US" w:eastAsia="zh-CN"/>
        </w:rPr>
        <w:t>2</w:t>
      </w:r>
      <w:r>
        <w:rPr>
          <w:rFonts w:hint="eastAsia" w:ascii="Times New Roman" w:hAnsi="Times New Roman" w:eastAsia="仿宋_GB2312"/>
          <w:color w:val="auto"/>
          <w:sz w:val="32"/>
          <w:szCs w:val="32"/>
          <w:highlight w:val="none"/>
        </w:rPr>
        <w:t>辆，其中</w:t>
      </w:r>
      <w:r>
        <w:rPr>
          <w:rFonts w:hint="eastAsia" w:ascii="Times New Roman" w:hAnsi="Times New Roman" w:eastAsia="仿宋_GB2312"/>
          <w:color w:val="auto"/>
          <w:sz w:val="32"/>
          <w:szCs w:val="32"/>
          <w:highlight w:val="none"/>
          <w:lang w:eastAsia="zh-CN"/>
        </w:rPr>
        <w:t>，副部（省）级及以上领导用车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主要</w:t>
      </w:r>
      <w:r>
        <w:rPr>
          <w:rFonts w:hint="eastAsia" w:ascii="Times New Roman" w:hAnsi="Times New Roman" w:eastAsia="仿宋_GB2312"/>
          <w:color w:val="auto"/>
          <w:sz w:val="32"/>
          <w:szCs w:val="32"/>
          <w:highlight w:val="none"/>
          <w:lang w:eastAsia="zh-CN"/>
        </w:rPr>
        <w:t>负责人</w:t>
      </w:r>
      <w:r>
        <w:rPr>
          <w:rFonts w:hint="eastAsia" w:ascii="Times New Roman" w:hAnsi="Times New Roman" w:eastAsia="仿宋_GB2312"/>
          <w:color w:val="auto"/>
          <w:sz w:val="32"/>
          <w:szCs w:val="32"/>
          <w:highlight w:val="none"/>
        </w:rPr>
        <w:t>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机要通信用车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辆、应急保障用车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辆、执法执勤用车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辆、特种专业技术用车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w:t>
      </w:r>
      <w:r>
        <w:rPr>
          <w:rFonts w:hint="eastAsia" w:ascii="Times New Roman" w:hAnsi="Times New Roman" w:eastAsia="仿宋_GB2312"/>
          <w:color w:val="auto"/>
          <w:sz w:val="32"/>
          <w:szCs w:val="32"/>
          <w:highlight w:val="none"/>
          <w:lang w:eastAsia="zh-CN"/>
        </w:rPr>
        <w:t>离退休干部服务用车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辆、其他用车</w:t>
      </w:r>
      <w:r>
        <w:rPr>
          <w:rFonts w:hint="eastAsia" w:ascii="Times New Roman" w:hAnsi="Times New Roman" w:eastAsia="仿宋_GB2312"/>
          <w:color w:val="auto"/>
          <w:sz w:val="32"/>
          <w:szCs w:val="32"/>
          <w:highlight w:val="none"/>
          <w:lang w:val="en-US" w:eastAsia="zh-CN"/>
        </w:rPr>
        <w:t>2</w:t>
      </w:r>
      <w:r>
        <w:rPr>
          <w:rFonts w:hint="eastAsia" w:ascii="Times New Roman" w:hAnsi="Times New Roman" w:eastAsia="仿宋_GB2312"/>
          <w:color w:val="auto"/>
          <w:sz w:val="32"/>
          <w:szCs w:val="32"/>
          <w:highlight w:val="none"/>
        </w:rPr>
        <w:t>辆，其他用车主要是</w:t>
      </w:r>
      <w:r>
        <w:rPr>
          <w:rFonts w:hint="eastAsia" w:ascii="Times New Roman" w:hAnsi="Times New Roman" w:eastAsia="仿宋_GB2312"/>
          <w:color w:val="auto"/>
          <w:sz w:val="32"/>
          <w:szCs w:val="32"/>
          <w:highlight w:val="none"/>
          <w:lang w:val="en-US" w:eastAsia="zh-CN"/>
        </w:rPr>
        <w:t>单位工作用车</w:t>
      </w:r>
      <w:r>
        <w:rPr>
          <w:rFonts w:hint="eastAsia" w:ascii="Times New Roman" w:hAnsi="Times New Roman" w:eastAsia="仿宋_GB2312"/>
          <w:color w:val="auto"/>
          <w:sz w:val="32"/>
          <w:szCs w:val="32"/>
          <w:highlight w:val="none"/>
        </w:rPr>
        <w:t>；单位价值100万元以上设备</w:t>
      </w:r>
      <w:r>
        <w:rPr>
          <w:rFonts w:hint="eastAsia" w:ascii="Times New Roman" w:hAnsi="Times New Roman" w:eastAsia="仿宋_GB2312"/>
          <w:color w:val="auto"/>
          <w:sz w:val="32"/>
          <w:szCs w:val="32"/>
          <w:highlight w:val="none"/>
          <w:lang w:eastAsia="zh-CN"/>
        </w:rPr>
        <w:t>（不含车辆）</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台（套）。</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both"/>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十三、关于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3</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绩效情况的说明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2" w:firstLineChars="200"/>
        <w:jc w:val="both"/>
        <w:textAlignment w:val="auto"/>
        <w:rPr>
          <w:rFonts w:hint="eastAsia" w:ascii="楷体" w:hAnsi="楷体" w:eastAsia="楷体" w:cs="楷体"/>
          <w:b/>
          <w:bCs/>
          <w:sz w:val="32"/>
          <w:szCs w:val="32"/>
          <w:highlight w:val="none"/>
          <w:lang w:eastAsia="zh-CN"/>
        </w:rPr>
      </w:pPr>
      <w:r>
        <w:rPr>
          <w:rFonts w:hint="eastAsia" w:ascii="楷体" w:hAnsi="楷体" w:eastAsia="楷体" w:cs="楷体"/>
          <w:b/>
          <w:bCs/>
          <w:sz w:val="32"/>
          <w:szCs w:val="32"/>
          <w:highlight w:val="none"/>
          <w:lang w:eastAsia="zh-CN"/>
        </w:rPr>
        <w:t>（一）绩效管理工作开展情况</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both"/>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努力提高预算编制水平，完善预算分配，提高预算准确率，合理安排收支预算。从严控制事业经费，按照“零增长”的原则编制“三公经费”预算。</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both"/>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1、加强预算管理和执行力度，本着厉行节约原则，本年度严格按照有关规定和工作需要，科学、合理地对资金进行有序安排，支出总额控制在预算总额以内。</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both"/>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2、严格按照财务管理制度，进一步贯彻落实中央八项规定精神、行政单位内部控制规范等，规范财务管理，强化资金使用约束力。切实履行厉行节约制度，加强经费审批和控制，规范支出标准与范围，并严格执行。</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2" w:firstLineChars="200"/>
        <w:jc w:val="both"/>
        <w:textAlignment w:val="auto"/>
        <w:rPr>
          <w:rFonts w:hint="eastAsia" w:ascii="楷体" w:hAnsi="楷体" w:eastAsia="楷体" w:cs="楷体"/>
          <w:b/>
          <w:bCs/>
          <w:sz w:val="32"/>
          <w:szCs w:val="32"/>
          <w:highlight w:val="none"/>
        </w:rPr>
      </w:pPr>
      <w:r>
        <w:rPr>
          <w:rFonts w:hint="eastAsia" w:ascii="楷体" w:hAnsi="楷体" w:eastAsia="楷体" w:cs="楷体"/>
          <w:b/>
          <w:bCs/>
          <w:sz w:val="32"/>
          <w:szCs w:val="32"/>
          <w:highlight w:val="none"/>
          <w:lang w:eastAsia="zh-CN"/>
        </w:rPr>
        <w:t>（二）单位</w:t>
      </w:r>
      <w:r>
        <w:rPr>
          <w:rFonts w:hint="eastAsia" w:ascii="楷体" w:hAnsi="楷体" w:eastAsia="楷体" w:cs="楷体"/>
          <w:b/>
          <w:bCs/>
          <w:sz w:val="32"/>
          <w:szCs w:val="32"/>
          <w:highlight w:val="none"/>
        </w:rPr>
        <w:t>整体支出绩效情况</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both"/>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年全年预算数为2287.56万元，支出2353.45万元，其中：基本支出2290.43万元，占97.32%；项目支出63.02万元，占2.68%。事务中心严格执行中央八项规定</w:t>
      </w:r>
      <w:r>
        <w:rPr>
          <w:rFonts w:hint="eastAsia" w:ascii="Times New Roman" w:hAnsi="Times New Roman" w:eastAsia="仿宋_GB2312"/>
          <w:sz w:val="32"/>
          <w:szCs w:val="32"/>
          <w:highlight w:val="none"/>
          <w:lang w:eastAsia="zh-CN"/>
        </w:rPr>
        <w:t>精神</w:t>
      </w:r>
      <w:r>
        <w:rPr>
          <w:rFonts w:hint="eastAsia" w:ascii="Times New Roman" w:hAnsi="Times New Roman" w:eastAsia="仿宋_GB2312"/>
          <w:sz w:val="32"/>
          <w:szCs w:val="32"/>
          <w:highlight w:val="none"/>
        </w:rPr>
        <w:t>和各项财务管理制度，在资金的管理和使用上，根据年初预算，合理安排日常公用经费资金及项目资金，预算执行总体较为有效，做到了统筹兼顾、厉行节约、讲求绩效，保证了中心各项工作的正常运转。</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both"/>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我单位积极履职，强化管理，较好的完成了年度工作目标。通过加强预算收支管理，不断建立健全内部管理制度，梳理内部管理流程，部门整体支出管理水平得到提升。202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年部门整体支出绩效评价报告、部门整体支出绩效自评表作为附件同步公开。</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2" w:firstLineChars="200"/>
        <w:jc w:val="both"/>
        <w:textAlignment w:val="auto"/>
        <w:rPr>
          <w:rFonts w:hint="eastAsia" w:ascii="楷体" w:hAnsi="楷体" w:eastAsia="楷体" w:cs="楷体"/>
          <w:b/>
          <w:bCs/>
          <w:sz w:val="32"/>
          <w:szCs w:val="32"/>
          <w:highlight w:val="none"/>
        </w:rPr>
      </w:pPr>
      <w:r>
        <w:rPr>
          <w:rFonts w:hint="eastAsia" w:ascii="楷体" w:hAnsi="楷体" w:eastAsia="楷体" w:cs="楷体"/>
          <w:b/>
          <w:bCs/>
          <w:sz w:val="32"/>
          <w:szCs w:val="32"/>
          <w:highlight w:val="none"/>
          <w:lang w:eastAsia="zh-CN"/>
        </w:rPr>
        <w:t>（三）</w:t>
      </w:r>
      <w:r>
        <w:rPr>
          <w:rFonts w:hint="eastAsia" w:ascii="楷体" w:hAnsi="楷体" w:eastAsia="楷体" w:cs="楷体"/>
          <w:b/>
          <w:bCs/>
          <w:sz w:val="32"/>
          <w:szCs w:val="32"/>
          <w:highlight w:val="none"/>
        </w:rPr>
        <w:t>存在的问题及原因分析</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_GB2312"/>
          <w:sz w:val="32"/>
          <w:szCs w:val="32"/>
          <w:highlight w:val="yellow"/>
          <w:lang w:val="en"/>
        </w:rPr>
      </w:pPr>
      <w:r>
        <w:rPr>
          <w:rFonts w:hint="eastAsia" w:ascii="Times New Roman" w:hAnsi="Times New Roman" w:eastAsia="仿宋_GB2312"/>
          <w:sz w:val="32"/>
          <w:szCs w:val="32"/>
          <w:highlight w:val="none"/>
        </w:rPr>
        <w:t>1、预算编制工作有待细化。预算编制不够明确和细化，预算编制的合理性需要提高，预算执行力度还要进一步加强。</w:t>
      </w:r>
      <w:r>
        <w:rPr>
          <w:rFonts w:hint="eastAsia" w:ascii="方正仿宋_GBK" w:hAnsi="方正仿宋_GBK" w:eastAsia="方正仿宋_GBK" w:cs="方正仿宋_GBK"/>
          <w:sz w:val="32"/>
          <w:szCs w:val="32"/>
          <w:highlight w:val="none"/>
          <w:lang w:eastAsia="zh-CN"/>
        </w:rPr>
        <w:t>本单位</w:t>
      </w: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虽然认识到全面预算管理的作用，但未细化到各部门年度工作计划，各部门对预算工作抱应付态度，认为这是财务部门的工作，与本部门关系不大，导致做出的预算缺乏实际指导意义，缺乏各部门与财务部门之间的沟通与反馈。</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both"/>
        <w:textAlignment w:val="auto"/>
        <w:rPr>
          <w:rFonts w:hint="eastAsia" w:ascii="方正小标宋_GBK" w:hAnsi="方正小标宋_GBK" w:eastAsia="方正小标宋_GBK" w:cs="方正小标宋_GBK"/>
          <w:sz w:val="72"/>
          <w:szCs w:val="72"/>
          <w:highlight w:val="none"/>
        </w:rPr>
      </w:pPr>
      <w:r>
        <w:rPr>
          <w:rFonts w:hint="eastAsia" w:ascii="Times New Roman" w:hAnsi="Times New Roman" w:eastAsia="仿宋_GB2312"/>
          <w:sz w:val="32"/>
          <w:szCs w:val="32"/>
          <w:highlight w:val="none"/>
        </w:rPr>
        <w:t>2、因财政开账有周期性，单位财务支付及时性较差，办公用品采购困难较大。</w:t>
      </w: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r>
        <w:rPr>
          <w:rFonts w:hint="eastAsia" w:ascii="方正小标宋_GBK" w:hAnsi="方正小标宋_GBK" w:eastAsia="方正小标宋_GBK" w:cs="方正小标宋_GBK"/>
          <w:sz w:val="72"/>
          <w:szCs w:val="72"/>
          <w:highlight w:val="none"/>
        </w:rPr>
        <w:t>第四部分</w:t>
      </w:r>
    </w:p>
    <w:p>
      <w:pPr>
        <w:jc w:val="center"/>
        <w:rPr>
          <w:rFonts w:hint="eastAsia" w:ascii="方正小标宋_GBK" w:hAnsi="方正小标宋_GBK" w:eastAsia="方正小标宋_GBK" w:cs="方正小标宋_GBK"/>
          <w:color w:val="000000"/>
          <w:kern w:val="0"/>
          <w:sz w:val="70"/>
          <w:szCs w:val="70"/>
          <w:highlight w:val="none"/>
        </w:rPr>
      </w:pPr>
    </w:p>
    <w:p>
      <w:pPr>
        <w:jc w:val="center"/>
        <w:rPr>
          <w:rFonts w:hint="eastAsia" w:ascii="方正小标宋_GBK" w:hAnsi="方正小标宋_GBK" w:eastAsia="方正小标宋_GBK" w:cs="方正小标宋_GBK"/>
          <w:color w:val="000000"/>
          <w:kern w:val="0"/>
          <w:sz w:val="70"/>
          <w:szCs w:val="70"/>
          <w:highlight w:val="none"/>
        </w:rPr>
      </w:pPr>
      <w:r>
        <w:rPr>
          <w:rFonts w:hint="eastAsia" w:ascii="方正小标宋_GBK" w:hAnsi="方正小标宋_GBK" w:eastAsia="方正小标宋_GBK" w:cs="方正小标宋_GBK"/>
          <w:color w:val="000000"/>
          <w:kern w:val="0"/>
          <w:sz w:val="70"/>
          <w:szCs w:val="70"/>
          <w:highlight w:val="none"/>
        </w:rPr>
        <w:t>名词解释</w:t>
      </w:r>
    </w:p>
    <w:p>
      <w:pPr>
        <w:widowControl/>
        <w:jc w:val="left"/>
        <w:rPr>
          <w:rFonts w:cs="黑体" w:asciiTheme="minorEastAsia" w:hAnsiTheme="minorEastAsia"/>
          <w:color w:val="000000"/>
          <w:kern w:val="0"/>
          <w:sz w:val="32"/>
          <w:szCs w:val="32"/>
          <w:highlight w:val="none"/>
        </w:rPr>
      </w:pPr>
      <w:r>
        <w:rPr>
          <w:rFonts w:hint="eastAsia" w:ascii="方正小标宋_GBK" w:hAnsi="方正小标宋_GBK" w:eastAsia="方正小标宋_GBK" w:cs="方正小标宋_GBK"/>
          <w:color w:val="000000"/>
          <w:kern w:val="0"/>
          <w:sz w:val="70"/>
          <w:szCs w:val="70"/>
          <w:highlight w:val="none"/>
        </w:rPr>
        <w:br w:type="page"/>
      </w:r>
    </w:p>
    <w:p>
      <w:pPr>
        <w:ind w:firstLine="640" w:firstLineChars="200"/>
        <w:jc w:val="left"/>
        <w:rPr>
          <w:rFonts w:hint="eastAsia" w:ascii="Times New Roman" w:hAnsi="Times New Roman" w:eastAsia="仿宋_GB2312" w:cs="黑体"/>
          <w:color w:val="000000"/>
          <w:kern w:val="0"/>
          <w:sz w:val="32"/>
          <w:szCs w:val="32"/>
          <w:highlight w:val="none"/>
          <w:lang w:val="en-US" w:eastAsia="zh-CN" w:bidi="ar-SA"/>
        </w:rPr>
      </w:pPr>
      <w:r>
        <w:rPr>
          <w:rFonts w:hint="eastAsia" w:ascii="Times New Roman" w:hAnsi="Times New Roman" w:eastAsia="仿宋_GB2312" w:cs="黑体"/>
          <w:color w:val="000000"/>
          <w:kern w:val="0"/>
          <w:sz w:val="32"/>
          <w:szCs w:val="32"/>
          <w:highlight w:val="none"/>
          <w:lang w:val="en-US" w:eastAsia="zh-CN" w:bidi="ar-SA"/>
        </w:rPr>
        <w:t>一、“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支出。</w:t>
      </w:r>
    </w:p>
    <w:p>
      <w:pPr>
        <w:ind w:firstLine="640" w:firstLineChars="200"/>
        <w:jc w:val="left"/>
        <w:rPr>
          <w:rFonts w:hint="eastAsia" w:ascii="Times New Roman" w:hAnsi="Times New Roman" w:eastAsia="仿宋_GB2312" w:cs="黑体"/>
          <w:color w:val="000000"/>
          <w:kern w:val="0"/>
          <w:sz w:val="32"/>
          <w:szCs w:val="32"/>
          <w:highlight w:val="none"/>
          <w:lang w:val="en-US" w:eastAsia="zh-CN" w:bidi="ar-SA"/>
        </w:rPr>
      </w:pPr>
      <w:r>
        <w:rPr>
          <w:rFonts w:hint="eastAsia" w:ascii="Times New Roman" w:hAnsi="Times New Roman" w:eastAsia="仿宋_GB2312" w:cs="黑体"/>
          <w:color w:val="000000"/>
          <w:kern w:val="0"/>
          <w:sz w:val="32"/>
          <w:szCs w:val="32"/>
          <w:highlight w:val="none"/>
          <w:lang w:val="en-US" w:eastAsia="zh-CN" w:bidi="ar-SA"/>
        </w:rPr>
        <w:t>二、机关运行经费：机关运行经费指为保障行政单位（包括参照公务员法管理的事业单位）运行，用于购买货物和服务的各项资金。包括办公及印刷费、邮电费、差旅费、会议费、福利费、日常维修费、专用材料费及一般设备购置费、办公用房水电费、公务用车运行维护费及其他费用。</w:t>
      </w:r>
    </w:p>
    <w:p>
      <w:pPr>
        <w:pStyle w:val="14"/>
        <w:jc w:val="both"/>
        <w:rPr>
          <w:sz w:val="72"/>
          <w:szCs w:val="72"/>
          <w:highlight w:val="none"/>
        </w:rPr>
      </w:pPr>
    </w:p>
    <w:p>
      <w:pPr>
        <w:pStyle w:val="14"/>
        <w:jc w:val="center"/>
        <w:rPr>
          <w:sz w:val="72"/>
          <w:szCs w:val="72"/>
          <w:highlight w:val="none"/>
        </w:rPr>
      </w:pPr>
    </w:p>
    <w:p>
      <w:pPr>
        <w:pStyle w:val="14"/>
        <w:jc w:val="center"/>
        <w:rPr>
          <w:sz w:val="72"/>
          <w:szCs w:val="72"/>
          <w:highlight w:val="none"/>
        </w:rPr>
      </w:pPr>
    </w:p>
    <w:p>
      <w:pPr>
        <w:pStyle w:val="14"/>
        <w:jc w:val="center"/>
        <w:rPr>
          <w:sz w:val="72"/>
          <w:szCs w:val="72"/>
          <w:highlight w:val="none"/>
        </w:rPr>
      </w:pPr>
    </w:p>
    <w:p>
      <w:pPr>
        <w:pStyle w:val="14"/>
        <w:jc w:val="center"/>
        <w:rPr>
          <w:sz w:val="72"/>
          <w:szCs w:val="72"/>
          <w:highlight w:val="none"/>
        </w:rPr>
      </w:pPr>
    </w:p>
    <w:p>
      <w:pPr>
        <w:pStyle w:val="14"/>
        <w:jc w:val="both"/>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r>
        <w:rPr>
          <w:rFonts w:hint="eastAsia" w:ascii="方正小标宋_GBK" w:hAnsi="方正小标宋_GBK" w:eastAsia="方正小标宋_GBK" w:cs="方正小标宋_GBK"/>
          <w:sz w:val="72"/>
          <w:szCs w:val="72"/>
          <w:highlight w:val="none"/>
        </w:rPr>
        <w:t>第</w:t>
      </w:r>
      <w:r>
        <w:rPr>
          <w:rFonts w:hint="eastAsia" w:ascii="方正小标宋_GBK" w:hAnsi="方正小标宋_GBK" w:eastAsia="方正小标宋_GBK" w:cs="方正小标宋_GBK"/>
          <w:sz w:val="72"/>
          <w:szCs w:val="72"/>
          <w:highlight w:val="none"/>
          <w:lang w:eastAsia="zh-CN"/>
        </w:rPr>
        <w:t>五</w:t>
      </w:r>
      <w:r>
        <w:rPr>
          <w:rFonts w:hint="eastAsia" w:ascii="方正小标宋_GBK" w:hAnsi="方正小标宋_GBK" w:eastAsia="方正小标宋_GBK" w:cs="方正小标宋_GBK"/>
          <w:sz w:val="72"/>
          <w:szCs w:val="72"/>
          <w:highlight w:val="none"/>
        </w:rPr>
        <w:t>部分</w:t>
      </w:r>
    </w:p>
    <w:p>
      <w:pPr>
        <w:pStyle w:val="14"/>
        <w:jc w:val="center"/>
        <w:rPr>
          <w:rFonts w:hint="eastAsia" w:ascii="方正小标宋_GBK" w:hAnsi="方正小标宋_GBK" w:eastAsia="方正小标宋_GBK" w:cs="方正小标宋_GBK"/>
          <w:sz w:val="70"/>
          <w:szCs w:val="70"/>
          <w:highlight w:val="none"/>
        </w:rPr>
      </w:pPr>
    </w:p>
    <w:p>
      <w:pPr>
        <w:pStyle w:val="14"/>
        <w:jc w:val="center"/>
        <w:rPr>
          <w:rFonts w:hint="eastAsia" w:eastAsia="黑体"/>
          <w:sz w:val="72"/>
          <w:szCs w:val="72"/>
          <w:highlight w:val="none"/>
          <w:lang w:eastAsia="zh-CN"/>
        </w:rPr>
      </w:pPr>
      <w:r>
        <w:rPr>
          <w:rFonts w:hint="eastAsia" w:ascii="方正小标宋_GBK" w:hAnsi="方正小标宋_GBK" w:eastAsia="方正小标宋_GBK" w:cs="方正小标宋_GBK"/>
          <w:sz w:val="70"/>
          <w:szCs w:val="70"/>
          <w:highlight w:val="none"/>
          <w:lang w:eastAsia="zh-CN"/>
        </w:rPr>
        <w:t>附</w:t>
      </w:r>
      <w:r>
        <w:rPr>
          <w:rFonts w:hint="eastAsia" w:ascii="方正小标宋_GBK" w:hAnsi="方正小标宋_GBK" w:eastAsia="方正小标宋_GBK" w:cs="方正小标宋_GBK"/>
          <w:sz w:val="70"/>
          <w:szCs w:val="70"/>
          <w:highlight w:val="none"/>
          <w:lang w:val="en-US" w:eastAsia="zh-CN"/>
        </w:rPr>
        <w:t xml:space="preserve"> </w:t>
      </w:r>
      <w:r>
        <w:rPr>
          <w:rFonts w:hint="eastAsia" w:ascii="方正小标宋_GBK" w:hAnsi="方正小标宋_GBK" w:eastAsia="方正小标宋_GBK" w:cs="方正小标宋_GBK"/>
          <w:sz w:val="70"/>
          <w:szCs w:val="70"/>
          <w:highlight w:val="none"/>
          <w:lang w:eastAsia="zh-CN"/>
        </w:rPr>
        <w:t>件</w:t>
      </w:r>
    </w:p>
    <w:p>
      <w:pPr>
        <w:spacing w:beforeLines="0" w:afterLines="0" w:line="600" w:lineRule="exact"/>
        <w:outlineLvl w:val="0"/>
        <w:rPr>
          <w:rFonts w:hint="default" w:eastAsia="方正黑体_GBK"/>
          <w:kern w:val="0"/>
          <w:sz w:val="32"/>
          <w:szCs w:val="32"/>
          <w:highlight w:val="none"/>
        </w:rPr>
      </w:pPr>
      <w:r>
        <w:rPr>
          <w:sz w:val="72"/>
          <w:szCs w:val="72"/>
          <w:highlight w:val="none"/>
        </w:rPr>
        <w:br w:type="page"/>
      </w:r>
      <w:r>
        <w:rPr>
          <w:rFonts w:hint="eastAsia" w:eastAsia="方正黑体_GBK"/>
          <w:kern w:val="0"/>
          <w:sz w:val="32"/>
          <w:szCs w:val="32"/>
          <w:highlight w:val="none"/>
        </w:rPr>
        <w:t>附件1</w:t>
      </w:r>
    </w:p>
    <w:p>
      <w:pPr>
        <w:spacing w:beforeLines="0" w:afterLines="0" w:line="600" w:lineRule="exact"/>
        <w:rPr>
          <w:rFonts w:hint="default" w:eastAsia="黑体"/>
          <w:kern w:val="0"/>
          <w:sz w:val="32"/>
          <w:szCs w:val="32"/>
          <w:highlight w:val="none"/>
        </w:rPr>
      </w:pPr>
    </w:p>
    <w:p>
      <w:pPr>
        <w:pStyle w:val="2"/>
        <w:spacing w:beforeLines="0" w:afterLines="0"/>
        <w:rPr>
          <w:rFonts w:hint="default"/>
          <w:sz w:val="20"/>
          <w:szCs w:val="20"/>
          <w:highlight w:val="none"/>
        </w:rPr>
      </w:pPr>
    </w:p>
    <w:p>
      <w:pPr>
        <w:spacing w:beforeLines="0" w:afterLines="0"/>
        <w:jc w:val="center"/>
        <w:rPr>
          <w:rFonts w:hint="eastAsia" w:ascii="方正小标宋_GBK" w:eastAsia="方正小标宋_GBK"/>
          <w:sz w:val="52"/>
          <w:szCs w:val="52"/>
          <w:highlight w:val="none"/>
        </w:rPr>
      </w:pPr>
      <w:r>
        <w:rPr>
          <w:rFonts w:hint="eastAsia" w:ascii="方正小标宋_GBK" w:eastAsia="方正小标宋_GBK"/>
          <w:sz w:val="52"/>
          <w:szCs w:val="52"/>
          <w:highlight w:val="none"/>
        </w:rPr>
        <w:t>2023年度湖南省市场监管事务中心</w:t>
      </w:r>
    </w:p>
    <w:p>
      <w:pPr>
        <w:spacing w:beforeLines="0" w:afterLines="0"/>
        <w:jc w:val="center"/>
        <w:rPr>
          <w:rFonts w:hint="eastAsia" w:ascii="方正小标宋_GBK" w:eastAsia="方正小标宋_GBK"/>
          <w:sz w:val="52"/>
          <w:szCs w:val="52"/>
          <w:highlight w:val="none"/>
        </w:rPr>
      </w:pPr>
      <w:r>
        <w:rPr>
          <w:rFonts w:hint="eastAsia" w:ascii="方正小标宋_GBK" w:eastAsia="方正小标宋_GBK"/>
          <w:sz w:val="52"/>
          <w:szCs w:val="52"/>
          <w:highlight w:val="none"/>
        </w:rPr>
        <w:t>整体支出绩效自评报告</w:t>
      </w:r>
    </w:p>
    <w:p>
      <w:pPr>
        <w:spacing w:beforeLines="0" w:afterLines="0"/>
        <w:jc w:val="center"/>
        <w:rPr>
          <w:rFonts w:hint="eastAsia" w:ascii="方正小标宋_GBK" w:eastAsia="方正小标宋_GBK"/>
          <w:b/>
          <w:sz w:val="52"/>
          <w:szCs w:val="52"/>
          <w:highlight w:val="none"/>
        </w:rPr>
      </w:pPr>
    </w:p>
    <w:p>
      <w:pPr>
        <w:spacing w:beforeLines="0" w:afterLines="0"/>
        <w:jc w:val="center"/>
        <w:rPr>
          <w:rFonts w:hint="default" w:eastAsia="楷体_GB2312"/>
          <w:b/>
          <w:sz w:val="32"/>
          <w:szCs w:val="32"/>
          <w:highlight w:val="none"/>
        </w:rPr>
      </w:pPr>
    </w:p>
    <w:p>
      <w:pPr>
        <w:spacing w:beforeLines="0" w:afterLines="0"/>
        <w:jc w:val="center"/>
        <w:rPr>
          <w:rFonts w:hint="default" w:eastAsia="楷体_GB2312"/>
          <w:b/>
          <w:sz w:val="32"/>
          <w:szCs w:val="32"/>
          <w:highlight w:val="none"/>
        </w:rPr>
      </w:pPr>
    </w:p>
    <w:p>
      <w:pPr>
        <w:spacing w:beforeLines="0" w:afterLines="0"/>
        <w:jc w:val="center"/>
        <w:rPr>
          <w:rFonts w:hint="default" w:eastAsia="楷体_GB2312"/>
          <w:b/>
          <w:sz w:val="32"/>
          <w:szCs w:val="32"/>
          <w:highlight w:val="none"/>
        </w:rPr>
      </w:pPr>
    </w:p>
    <w:p>
      <w:pPr>
        <w:spacing w:beforeLines="0" w:afterLines="0"/>
        <w:jc w:val="center"/>
        <w:rPr>
          <w:rFonts w:hint="default" w:eastAsia="楷体_GB2312"/>
          <w:b/>
          <w:sz w:val="32"/>
          <w:szCs w:val="32"/>
          <w:highlight w:val="none"/>
        </w:rPr>
      </w:pPr>
    </w:p>
    <w:p>
      <w:pPr>
        <w:spacing w:beforeLines="0" w:afterLines="0"/>
        <w:jc w:val="center"/>
        <w:rPr>
          <w:rFonts w:hint="default" w:eastAsia="黑体"/>
          <w:sz w:val="32"/>
          <w:szCs w:val="32"/>
          <w:highlight w:val="none"/>
        </w:rPr>
      </w:pPr>
    </w:p>
    <w:p>
      <w:pPr>
        <w:spacing w:beforeLines="0" w:afterLines="0"/>
        <w:rPr>
          <w:rFonts w:hint="default" w:eastAsia="黑体"/>
          <w:sz w:val="32"/>
          <w:szCs w:val="32"/>
          <w:highlight w:val="none"/>
        </w:rPr>
      </w:pPr>
    </w:p>
    <w:p>
      <w:pPr>
        <w:spacing w:beforeLines="0" w:afterLines="0"/>
        <w:jc w:val="center"/>
        <w:rPr>
          <w:rFonts w:hint="default" w:eastAsia="黑体"/>
          <w:sz w:val="32"/>
          <w:szCs w:val="32"/>
          <w:highlight w:val="none"/>
        </w:rPr>
      </w:pPr>
    </w:p>
    <w:p>
      <w:pPr>
        <w:spacing w:beforeLines="0" w:afterLines="0"/>
        <w:jc w:val="center"/>
        <w:rPr>
          <w:rFonts w:hint="default" w:eastAsia="黑体"/>
          <w:sz w:val="32"/>
          <w:szCs w:val="32"/>
          <w:highlight w:val="none"/>
        </w:rPr>
      </w:pPr>
    </w:p>
    <w:p>
      <w:pPr>
        <w:spacing w:beforeLines="0" w:afterLines="0"/>
        <w:jc w:val="center"/>
        <w:rPr>
          <w:rFonts w:hint="default" w:eastAsia="黑体"/>
          <w:sz w:val="32"/>
          <w:szCs w:val="32"/>
          <w:highlight w:val="none"/>
        </w:rPr>
      </w:pPr>
    </w:p>
    <w:p>
      <w:pPr>
        <w:spacing w:beforeLines="0" w:afterLines="0"/>
        <w:jc w:val="center"/>
        <w:rPr>
          <w:rFonts w:hint="default" w:eastAsia="黑体"/>
          <w:sz w:val="32"/>
          <w:szCs w:val="32"/>
          <w:highlight w:val="none"/>
        </w:rPr>
      </w:pPr>
    </w:p>
    <w:p>
      <w:pPr>
        <w:spacing w:beforeLines="0" w:afterLines="0" w:line="600" w:lineRule="exact"/>
        <w:ind w:firstLine="640" w:firstLineChars="200"/>
        <w:jc w:val="center"/>
        <w:rPr>
          <w:rFonts w:hint="eastAsia" w:ascii="方正仿宋_GBK" w:eastAsia="方正仿宋_GBK"/>
          <w:sz w:val="32"/>
          <w:szCs w:val="32"/>
          <w:highlight w:val="none"/>
          <w:u w:val="single"/>
        </w:rPr>
      </w:pPr>
      <w:r>
        <w:rPr>
          <w:rFonts w:hint="eastAsia" w:ascii="方正仿宋_GBK" w:eastAsia="方正仿宋_GBK"/>
          <w:sz w:val="32"/>
          <w:szCs w:val="32"/>
          <w:highlight w:val="none"/>
        </w:rPr>
        <w:t>单位名称：</w:t>
      </w:r>
      <w:r>
        <w:rPr>
          <w:rFonts w:hint="eastAsia" w:ascii="方正仿宋_GBK" w:eastAsia="方正仿宋_GBK"/>
          <w:sz w:val="32"/>
          <w:szCs w:val="32"/>
          <w:highlight w:val="none"/>
          <w:u w:val="single"/>
        </w:rPr>
        <w:t>湖南省市场监管事务中心</w:t>
      </w:r>
    </w:p>
    <w:p>
      <w:pPr>
        <w:spacing w:beforeLines="0" w:afterLines="0" w:line="600" w:lineRule="exact"/>
        <w:ind w:firstLine="640" w:firstLineChars="200"/>
        <w:jc w:val="center"/>
        <w:rPr>
          <w:rFonts w:hint="eastAsia" w:ascii="方正仿宋_GBK" w:eastAsia="方正仿宋_GBK"/>
          <w:sz w:val="32"/>
          <w:szCs w:val="32"/>
          <w:highlight w:val="none"/>
        </w:rPr>
      </w:pPr>
      <w:r>
        <w:rPr>
          <w:rFonts w:hint="eastAsia" w:ascii="方正仿宋_GBK" w:eastAsia="方正仿宋_GBK"/>
          <w:sz w:val="32"/>
          <w:szCs w:val="32"/>
          <w:highlight w:val="none"/>
        </w:rPr>
        <w:t>202</w:t>
      </w:r>
      <w:r>
        <w:rPr>
          <w:rFonts w:hint="eastAsia" w:ascii="方正仿宋_GBK" w:eastAsia="方正仿宋_GBK"/>
          <w:sz w:val="32"/>
          <w:szCs w:val="32"/>
          <w:highlight w:val="none"/>
          <w:lang w:val="en"/>
        </w:rPr>
        <w:t>4</w:t>
      </w:r>
      <w:r>
        <w:rPr>
          <w:rFonts w:hint="eastAsia" w:ascii="方正仿宋_GBK" w:eastAsia="方正仿宋_GBK"/>
          <w:sz w:val="32"/>
          <w:szCs w:val="32"/>
          <w:highlight w:val="none"/>
        </w:rPr>
        <w:t>年0</w:t>
      </w:r>
      <w:r>
        <w:rPr>
          <w:rFonts w:hint="eastAsia" w:ascii="方正仿宋_GBK" w:eastAsia="方正仿宋_GBK"/>
          <w:sz w:val="32"/>
          <w:szCs w:val="32"/>
          <w:highlight w:val="none"/>
          <w:lang w:val="en"/>
        </w:rPr>
        <w:t>3</w:t>
      </w:r>
      <w:r>
        <w:rPr>
          <w:rFonts w:hint="eastAsia" w:ascii="方正仿宋_GBK" w:eastAsia="方正仿宋_GBK"/>
          <w:sz w:val="32"/>
          <w:szCs w:val="32"/>
          <w:highlight w:val="none"/>
        </w:rPr>
        <w:t>月28日</w:t>
      </w:r>
    </w:p>
    <w:p>
      <w:pPr>
        <w:spacing w:beforeLines="0" w:afterLines="0"/>
        <w:jc w:val="center"/>
        <w:rPr>
          <w:rFonts w:hint="eastAsia" w:ascii="方正仿宋_GBK" w:eastAsia="方正仿宋_GBK"/>
          <w:sz w:val="32"/>
          <w:szCs w:val="32"/>
          <w:highlight w:val="none"/>
        </w:rPr>
      </w:pPr>
    </w:p>
    <w:p>
      <w:pPr>
        <w:spacing w:beforeLines="0" w:afterLines="0"/>
        <w:jc w:val="center"/>
        <w:rPr>
          <w:rFonts w:hint="eastAsia" w:ascii="方正仿宋_GBK" w:eastAsia="方正仿宋_GBK"/>
          <w:sz w:val="32"/>
          <w:szCs w:val="32"/>
          <w:highlight w:val="none"/>
        </w:rPr>
        <w:sectPr>
          <w:footerReference r:id="rId3" w:type="default"/>
          <w:pgSz w:w="11906" w:h="16838"/>
          <w:pgMar w:top="1985" w:right="1474" w:bottom="1474" w:left="1474" w:header="851" w:footer="1134" w:gutter="0"/>
          <w:lnNumType w:countBy="0" w:distance="360"/>
          <w:cols w:space="720" w:num="1"/>
          <w:titlePg/>
          <w:docGrid w:type="lines" w:linePitch="312" w:charSpace="0"/>
        </w:sectPr>
      </w:pPr>
      <w:r>
        <w:rPr>
          <w:rFonts w:hint="eastAsia" w:ascii="方正仿宋_GBK" w:eastAsia="方正仿宋_GBK"/>
          <w:sz w:val="32"/>
          <w:szCs w:val="32"/>
          <w:highlight w:val="none"/>
        </w:rPr>
        <w:t>（此页为封面）</w:t>
      </w:r>
    </w:p>
    <w:p>
      <w:pPr>
        <w:spacing w:beforeLines="0" w:afterLines="0" w:line="600" w:lineRule="exact"/>
        <w:jc w:val="center"/>
        <w:rPr>
          <w:rFonts w:hint="eastAsia" w:ascii="Times New Roman" w:hAnsi="Times New Roman" w:eastAsia="方正小标宋_GBK"/>
          <w:sz w:val="44"/>
          <w:szCs w:val="44"/>
          <w:highlight w:val="none"/>
        </w:rPr>
      </w:pPr>
      <w:r>
        <w:rPr>
          <w:rFonts w:hint="default" w:ascii="Times New Roman" w:hAnsi="Times New Roman" w:eastAsia="方正小标宋_GBK"/>
          <w:sz w:val="44"/>
          <w:szCs w:val="44"/>
          <w:highlight w:val="none"/>
        </w:rPr>
        <w:t>202</w:t>
      </w:r>
      <w:r>
        <w:rPr>
          <w:rFonts w:hint="default" w:ascii="Times New Roman" w:hAnsi="Times New Roman" w:eastAsia="方正小标宋_GBK"/>
          <w:sz w:val="44"/>
          <w:szCs w:val="44"/>
          <w:highlight w:val="none"/>
          <w:lang w:val="en"/>
        </w:rPr>
        <w:t>3</w:t>
      </w:r>
      <w:r>
        <w:rPr>
          <w:rFonts w:hint="eastAsia" w:ascii="Times New Roman" w:hAnsi="Times New Roman" w:eastAsia="方正小标宋_GBK"/>
          <w:sz w:val="44"/>
          <w:szCs w:val="44"/>
          <w:highlight w:val="none"/>
        </w:rPr>
        <w:t>年度湖南省市场监管事务中心</w:t>
      </w:r>
    </w:p>
    <w:p>
      <w:pPr>
        <w:spacing w:beforeLines="0" w:afterLines="0" w:line="600" w:lineRule="exact"/>
        <w:jc w:val="center"/>
        <w:rPr>
          <w:rFonts w:hint="eastAsia"/>
          <w:sz w:val="28"/>
          <w:szCs w:val="24"/>
          <w:highlight w:val="none"/>
        </w:rPr>
      </w:pPr>
      <w:r>
        <w:rPr>
          <w:rFonts w:hint="eastAsia" w:ascii="Times New Roman" w:hAnsi="Times New Roman" w:eastAsia="方正小标宋_GBK"/>
          <w:sz w:val="44"/>
          <w:szCs w:val="44"/>
          <w:highlight w:val="none"/>
        </w:rPr>
        <w:t>整体支出绩效自评报告</w:t>
      </w:r>
    </w:p>
    <w:p>
      <w:pPr>
        <w:spacing w:beforeLines="0" w:afterLines="0" w:line="600" w:lineRule="exact"/>
        <w:rPr>
          <w:rFonts w:hint="eastAsia"/>
          <w:sz w:val="28"/>
          <w:szCs w:val="24"/>
          <w:highlight w:val="none"/>
        </w:rPr>
      </w:pPr>
    </w:p>
    <w:p>
      <w:pPr>
        <w:widowControl/>
        <w:numPr>
          <w:ilvl w:val="0"/>
          <w:numId w:val="0"/>
        </w:numPr>
        <w:spacing w:beforeLines="0" w:afterLines="0" w:line="600" w:lineRule="exact"/>
        <w:ind w:firstLine="640" w:firstLineChars="200"/>
        <w:jc w:val="left"/>
        <w:rPr>
          <w:rFonts w:hint="eastAsia"/>
          <w:sz w:val="28"/>
          <w:szCs w:val="24"/>
          <w:highlight w:val="none"/>
        </w:rPr>
      </w:pPr>
      <w:r>
        <w:rPr>
          <w:rFonts w:hint="eastAsia" w:eastAsia="黑体"/>
          <w:kern w:val="0"/>
          <w:sz w:val="32"/>
          <w:szCs w:val="32"/>
          <w:highlight w:val="none"/>
        </w:rPr>
        <w:t>一、单位基本情况</w:t>
      </w:r>
    </w:p>
    <w:p>
      <w:pPr>
        <w:tabs>
          <w:tab w:val="left" w:pos="1260"/>
          <w:tab w:val="left" w:pos="1980"/>
        </w:tabs>
        <w:adjustRightInd w:val="0"/>
        <w:snapToGrid w:val="0"/>
        <w:spacing w:beforeLines="0" w:afterLines="0" w:line="600" w:lineRule="exact"/>
        <w:ind w:firstLine="640" w:firstLineChars="200"/>
        <w:outlineLvl w:val="0"/>
        <w:rPr>
          <w:rFonts w:hint="eastAsia" w:ascii="楷体" w:hAnsi="楷体" w:eastAsia="楷体" w:cs="楷体"/>
          <w:sz w:val="32"/>
          <w:szCs w:val="32"/>
          <w:highlight w:val="none"/>
        </w:rPr>
      </w:pPr>
      <w:r>
        <w:rPr>
          <w:rFonts w:hint="eastAsia" w:ascii="楷体" w:hAnsi="楷体" w:eastAsia="楷体" w:cs="楷体"/>
          <w:sz w:val="32"/>
          <w:szCs w:val="32"/>
          <w:highlight w:val="none"/>
        </w:rPr>
        <w:t>（一）机构组成</w:t>
      </w:r>
    </w:p>
    <w:p>
      <w:pPr>
        <w:pStyle w:val="15"/>
        <w:spacing w:beforeLines="0" w:afterLines="0" w:line="600" w:lineRule="exact"/>
        <w:ind w:firstLine="608" w:firstLineChars="190"/>
        <w:rPr>
          <w:rFonts w:hint="default" w:ascii="Times New Roman" w:hAnsi="Times New Roman" w:eastAsia="仿宋"/>
          <w:sz w:val="32"/>
          <w:szCs w:val="32"/>
          <w:highlight w:val="none"/>
        </w:rPr>
      </w:pPr>
      <w:r>
        <w:rPr>
          <w:rFonts w:hint="eastAsia" w:ascii="Times New Roman" w:hAnsi="Times New Roman" w:eastAsia="仿宋"/>
          <w:sz w:val="32"/>
          <w:szCs w:val="32"/>
          <w:highlight w:val="none"/>
        </w:rPr>
        <w:t>根据湖南省机构编制委员会办公室</w:t>
      </w:r>
      <w:r>
        <w:rPr>
          <w:rFonts w:hint="eastAsia" w:ascii="Times New Roman" w:hAnsi="Times New Roman" w:eastAsia="仿宋"/>
          <w:color w:val="auto"/>
          <w:sz w:val="32"/>
          <w:szCs w:val="32"/>
          <w:highlight w:val="none"/>
        </w:rPr>
        <w:t>《关于省市场监督管理局深化事业单位改革试点有关事项的批复》(湘编复字〔2021〕2 号)，</w:t>
      </w:r>
      <w:r>
        <w:rPr>
          <w:rFonts w:hint="eastAsia" w:ascii="Times New Roman" w:hAnsi="Times New Roman" w:eastAsia="仿宋"/>
          <w:sz w:val="32"/>
          <w:szCs w:val="32"/>
          <w:highlight w:val="none"/>
        </w:rPr>
        <w:t>湖南省市场监管事务中心为公益一类事业单位，正处级，内设综合部、政务服务部、机关事务部。</w:t>
      </w:r>
    </w:p>
    <w:p>
      <w:pPr>
        <w:tabs>
          <w:tab w:val="left" w:pos="1260"/>
          <w:tab w:val="left" w:pos="1980"/>
        </w:tabs>
        <w:adjustRightInd w:val="0"/>
        <w:snapToGrid w:val="0"/>
        <w:spacing w:beforeLines="0" w:afterLines="0" w:line="600" w:lineRule="exact"/>
        <w:ind w:firstLine="640" w:firstLineChars="200"/>
        <w:outlineLvl w:val="0"/>
        <w:rPr>
          <w:rFonts w:hint="eastAsia" w:eastAsia="楷体_GB2312"/>
          <w:sz w:val="32"/>
          <w:szCs w:val="32"/>
          <w:highlight w:val="none"/>
        </w:rPr>
      </w:pPr>
      <w:r>
        <w:rPr>
          <w:rFonts w:hint="eastAsia" w:eastAsia="楷体_GB2312"/>
          <w:sz w:val="32"/>
          <w:szCs w:val="32"/>
          <w:highlight w:val="none"/>
        </w:rPr>
        <w:t>（二）机构职能</w:t>
      </w:r>
    </w:p>
    <w:p>
      <w:pPr>
        <w:spacing w:beforeLines="0" w:afterLines="0" w:line="60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省市场监管事务中心落实党中央、省委和省市场监督管理局关于市场监管政务服务、自贸区改革创新及深化“放管服”改革优化营商环境工作的方针政策和决策部署,主要职责是:</w:t>
      </w:r>
    </w:p>
    <w:p>
      <w:pPr>
        <w:spacing w:beforeLines="0" w:afterLines="0" w:line="60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1、承担省市场监管部门政务窗口服务事务性职能,协助推进市场监管部门行政许可服务便民化。</w:t>
      </w:r>
    </w:p>
    <w:p>
      <w:pPr>
        <w:spacing w:beforeLines="0" w:afterLines="0" w:line="60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2、承担省市场监管部门自贸试验区改革创新任务的相关事务性工作。</w:t>
      </w:r>
    </w:p>
    <w:p>
      <w:pPr>
        <w:spacing w:beforeLines="0" w:afterLines="0" w:line="60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3、承担省市场监管部门深化“放管服”改革、优化营商环境相关事务性工作。</w:t>
      </w:r>
    </w:p>
    <w:p>
      <w:pPr>
        <w:spacing w:beforeLines="0" w:afterLines="0" w:line="60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4、协助开展信访接待、文明创建、社会治安综合治理、节能减排、综合保障相关事务性工作。</w:t>
      </w:r>
    </w:p>
    <w:p>
      <w:pPr>
        <w:spacing w:beforeLines="0" w:afterLines="0" w:line="60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5、联系协调相关部门、社团组织、行业协会为个体私营经济发展服务,引导个私业主诚信守法经营。</w:t>
      </w:r>
    </w:p>
    <w:p>
      <w:pPr>
        <w:spacing w:beforeLines="0" w:afterLines="0" w:line="600" w:lineRule="exact"/>
        <w:ind w:firstLine="640" w:firstLineChars="200"/>
        <w:rPr>
          <w:rFonts w:hint="default" w:eastAsia="黑体"/>
          <w:kern w:val="0"/>
          <w:sz w:val="32"/>
          <w:szCs w:val="32"/>
          <w:highlight w:val="none"/>
        </w:rPr>
      </w:pPr>
      <w:r>
        <w:rPr>
          <w:rFonts w:hint="eastAsia" w:ascii="仿宋" w:hAnsi="仿宋" w:eastAsia="仿宋" w:cs="仿宋"/>
          <w:sz w:val="32"/>
          <w:szCs w:val="32"/>
          <w:highlight w:val="none"/>
        </w:rPr>
        <w:t>6、完成省市场监督管理局交办的其他任务。</w:t>
      </w:r>
    </w:p>
    <w:p>
      <w:pPr>
        <w:pStyle w:val="15"/>
        <w:spacing w:beforeLines="0" w:afterLines="0" w:line="600" w:lineRule="exact"/>
        <w:ind w:firstLine="608" w:firstLineChars="190"/>
        <w:rPr>
          <w:rFonts w:hint="eastAsia" w:ascii="楷体" w:hAnsi="楷体" w:eastAsia="楷体" w:cs="楷体"/>
          <w:sz w:val="32"/>
          <w:szCs w:val="32"/>
          <w:highlight w:val="none"/>
        </w:rPr>
      </w:pPr>
      <w:r>
        <w:rPr>
          <w:rFonts w:hint="eastAsia" w:ascii="楷体" w:hAnsi="楷体" w:eastAsia="楷体" w:cs="楷体"/>
          <w:sz w:val="32"/>
          <w:szCs w:val="32"/>
          <w:highlight w:val="none"/>
        </w:rPr>
        <w:t>（三）人员概况</w:t>
      </w:r>
    </w:p>
    <w:p>
      <w:pPr>
        <w:pStyle w:val="15"/>
        <w:spacing w:beforeLines="0" w:afterLines="0" w:line="600" w:lineRule="exact"/>
        <w:ind w:firstLine="608" w:firstLineChars="190"/>
        <w:rPr>
          <w:rFonts w:hint="default" w:ascii="Times New Roman" w:hAnsi="Times New Roman" w:eastAsia="仿宋"/>
          <w:sz w:val="32"/>
          <w:szCs w:val="32"/>
          <w:highlight w:val="none"/>
        </w:rPr>
      </w:pPr>
      <w:r>
        <w:rPr>
          <w:rFonts w:hint="eastAsia" w:ascii="Times New Roman" w:hAnsi="Times New Roman" w:eastAsia="仿宋"/>
          <w:sz w:val="32"/>
          <w:szCs w:val="32"/>
          <w:highlight w:val="none"/>
        </w:rPr>
        <w:t>湖南省市场监管事务中心事业核定编制19名，实有在职人员</w:t>
      </w:r>
      <w:r>
        <w:rPr>
          <w:rFonts w:hint="default" w:ascii="Times New Roman" w:hAnsi="Times New Roman" w:eastAsia="仿宋"/>
          <w:sz w:val="32"/>
          <w:szCs w:val="32"/>
          <w:highlight w:val="none"/>
        </w:rPr>
        <w:t>3</w:t>
      </w:r>
      <w:r>
        <w:rPr>
          <w:rFonts w:hint="eastAsia" w:ascii="Times New Roman" w:hAnsi="Times New Roman" w:eastAsia="仿宋"/>
          <w:sz w:val="32"/>
          <w:szCs w:val="32"/>
          <w:highlight w:val="none"/>
        </w:rPr>
        <w:t>4人，其中：主任1人，党总支书记1人，副主任</w:t>
      </w:r>
      <w:r>
        <w:rPr>
          <w:rFonts w:hint="default" w:ascii="Times New Roman" w:hAnsi="Times New Roman" w:eastAsia="仿宋"/>
          <w:sz w:val="32"/>
          <w:szCs w:val="32"/>
          <w:highlight w:val="none"/>
        </w:rPr>
        <w:t>2</w:t>
      </w:r>
      <w:r>
        <w:rPr>
          <w:rFonts w:hint="eastAsia" w:ascii="Times New Roman" w:hAnsi="Times New Roman" w:eastAsia="仿宋"/>
          <w:sz w:val="32"/>
          <w:szCs w:val="32"/>
          <w:highlight w:val="none"/>
        </w:rPr>
        <w:t>人，管理岗</w:t>
      </w:r>
      <w:r>
        <w:rPr>
          <w:rFonts w:hint="default" w:ascii="Times New Roman" w:hAnsi="Times New Roman" w:eastAsia="仿宋"/>
          <w:sz w:val="32"/>
          <w:szCs w:val="32"/>
          <w:highlight w:val="none"/>
        </w:rPr>
        <w:t>7</w:t>
      </w:r>
      <w:r>
        <w:rPr>
          <w:rFonts w:hint="eastAsia" w:ascii="Times New Roman" w:hAnsi="Times New Roman" w:eastAsia="仿宋"/>
          <w:sz w:val="32"/>
          <w:szCs w:val="32"/>
          <w:highlight w:val="none"/>
        </w:rPr>
        <w:t>级8人，管理岗8级</w:t>
      </w:r>
      <w:r>
        <w:rPr>
          <w:rFonts w:hint="default" w:ascii="Times New Roman" w:hAnsi="Times New Roman" w:eastAsia="仿宋"/>
          <w:sz w:val="32"/>
          <w:szCs w:val="32"/>
          <w:highlight w:val="none"/>
        </w:rPr>
        <w:t>2</w:t>
      </w:r>
      <w:r>
        <w:rPr>
          <w:rFonts w:hint="eastAsia" w:ascii="Times New Roman" w:hAnsi="Times New Roman" w:eastAsia="仿宋"/>
          <w:sz w:val="32"/>
          <w:szCs w:val="32"/>
          <w:highlight w:val="none"/>
        </w:rPr>
        <w:t>人，管理岗</w:t>
      </w:r>
      <w:r>
        <w:rPr>
          <w:rFonts w:hint="default" w:ascii="Times New Roman" w:hAnsi="Times New Roman" w:eastAsia="仿宋"/>
          <w:sz w:val="32"/>
          <w:szCs w:val="32"/>
          <w:highlight w:val="none"/>
        </w:rPr>
        <w:t>9</w:t>
      </w:r>
      <w:r>
        <w:rPr>
          <w:rFonts w:hint="eastAsia" w:ascii="Times New Roman" w:hAnsi="Times New Roman" w:eastAsia="仿宋"/>
          <w:sz w:val="32"/>
          <w:szCs w:val="32"/>
          <w:highlight w:val="none"/>
        </w:rPr>
        <w:t>级</w:t>
      </w:r>
      <w:r>
        <w:rPr>
          <w:rFonts w:hint="default" w:ascii="Times New Roman" w:hAnsi="Times New Roman" w:eastAsia="仿宋"/>
          <w:sz w:val="32"/>
          <w:szCs w:val="32"/>
          <w:highlight w:val="none"/>
        </w:rPr>
        <w:t>1</w:t>
      </w:r>
      <w:r>
        <w:rPr>
          <w:rFonts w:hint="eastAsia" w:ascii="Times New Roman" w:hAnsi="Times New Roman" w:eastAsia="仿宋"/>
          <w:sz w:val="32"/>
          <w:szCs w:val="32"/>
          <w:highlight w:val="none"/>
        </w:rPr>
        <w:t>人，专技岗2人（其中1人双肩挑），工勤岗18人；退休人员8人。另有长期合同工3人。</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hint="eastAsia" w:ascii="方正黑体_GBK" w:eastAsia="方正黑体_GBK" w:cs="微软雅黑"/>
          <w:sz w:val="32"/>
          <w:szCs w:val="32"/>
          <w:highlight w:val="none"/>
        </w:rPr>
      </w:pPr>
      <w:r>
        <w:rPr>
          <w:rFonts w:hint="eastAsia" w:ascii="方正黑体_GBK" w:eastAsia="方正黑体_GBK" w:cs="微软雅黑"/>
          <w:sz w:val="32"/>
          <w:szCs w:val="32"/>
          <w:highlight w:val="none"/>
        </w:rPr>
        <w:t>二、一般公共预算支出情况</w:t>
      </w:r>
    </w:p>
    <w:p>
      <w:pPr>
        <w:pStyle w:val="15"/>
        <w:spacing w:beforeLines="0" w:afterLines="0" w:line="600" w:lineRule="exact"/>
        <w:ind w:firstLine="608" w:firstLineChars="190"/>
        <w:rPr>
          <w:rFonts w:hint="eastAsia" w:ascii="方正黑体_GBK" w:eastAsia="方正黑体_GBK" w:cs="微软雅黑"/>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
        </w:rPr>
        <w:t>3</w:t>
      </w:r>
      <w:r>
        <w:rPr>
          <w:rFonts w:hint="eastAsia" w:ascii="仿宋" w:hAnsi="仿宋" w:eastAsia="仿宋"/>
          <w:sz w:val="32"/>
          <w:szCs w:val="32"/>
          <w:highlight w:val="none"/>
        </w:rPr>
        <w:t>年财政批复我中心预算支出控制数为2259.3万元，上年结转结余28.26万元。</w:t>
      </w:r>
      <w:r>
        <w:rPr>
          <w:rFonts w:hint="eastAsia" w:ascii="仿宋" w:hAnsi="仿宋" w:eastAsia="仿宋" w:cs="仿宋"/>
          <w:sz w:val="32"/>
          <w:szCs w:val="32"/>
          <w:highlight w:val="none"/>
        </w:rPr>
        <w:t>2023年全年预算数为2530.53万元，</w:t>
      </w:r>
      <w:r>
        <w:rPr>
          <w:rFonts w:hint="eastAsia" w:ascii="仿宋" w:hAnsi="仿宋" w:eastAsia="仿宋"/>
          <w:sz w:val="32"/>
          <w:szCs w:val="32"/>
          <w:highlight w:val="none"/>
        </w:rPr>
        <w:t>2023年全年预算支出2353.45万元，整体预算执行率为93%。</w:t>
      </w:r>
    </w:p>
    <w:p>
      <w:pPr>
        <w:spacing w:beforeLines="0" w:afterLines="0" w:line="600" w:lineRule="exact"/>
        <w:ind w:firstLine="640" w:firstLineChars="200"/>
        <w:rPr>
          <w:rFonts w:hint="eastAsia" w:ascii="楷体" w:hAnsi="楷体" w:eastAsia="楷体" w:cs="楷体"/>
          <w:sz w:val="32"/>
          <w:szCs w:val="32"/>
          <w:highlight w:val="none"/>
        </w:rPr>
      </w:pPr>
      <w:r>
        <w:rPr>
          <w:rFonts w:hint="eastAsia" w:ascii="楷体" w:hAnsi="楷体" w:eastAsia="楷体" w:cs="楷体"/>
          <w:sz w:val="32"/>
          <w:szCs w:val="32"/>
          <w:highlight w:val="none"/>
        </w:rPr>
        <w:t>（一）基本支出情况</w:t>
      </w:r>
    </w:p>
    <w:p>
      <w:pPr>
        <w:pStyle w:val="15"/>
        <w:spacing w:beforeLines="0" w:afterLines="0" w:line="600" w:lineRule="exact"/>
        <w:ind w:firstLine="608" w:firstLineChars="190"/>
        <w:rPr>
          <w:rFonts w:hint="eastAsia" w:ascii="仿宋" w:hAnsi="仿宋" w:eastAsia="仿宋" w:cs="仿宋"/>
          <w:sz w:val="32"/>
          <w:szCs w:val="32"/>
          <w:highlight w:val="none"/>
        </w:rPr>
      </w:pPr>
      <w:r>
        <w:rPr>
          <w:rFonts w:hint="eastAsia" w:ascii="仿宋" w:hAnsi="仿宋" w:eastAsia="仿宋"/>
          <w:sz w:val="32"/>
          <w:szCs w:val="32"/>
          <w:highlight w:val="none"/>
        </w:rPr>
        <w:t>2023年基本支出全年预算为2</w:t>
      </w:r>
      <w:r>
        <w:rPr>
          <w:rFonts w:hint="eastAsia" w:ascii="仿宋" w:hAnsi="仿宋" w:eastAsia="仿宋"/>
          <w:sz w:val="32"/>
          <w:szCs w:val="32"/>
          <w:highlight w:val="none"/>
          <w:lang w:val="en-US" w:eastAsia="zh-CN"/>
        </w:rPr>
        <w:t>465</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06</w:t>
      </w:r>
      <w:r>
        <w:rPr>
          <w:rFonts w:hint="eastAsia" w:ascii="仿宋" w:hAnsi="仿宋" w:eastAsia="仿宋"/>
          <w:sz w:val="32"/>
          <w:szCs w:val="32"/>
          <w:highlight w:val="none"/>
        </w:rPr>
        <w:t>万元，全年共支出2</w:t>
      </w:r>
      <w:r>
        <w:rPr>
          <w:rFonts w:hint="eastAsia" w:ascii="仿宋" w:hAnsi="仿宋" w:eastAsia="仿宋"/>
          <w:sz w:val="32"/>
          <w:szCs w:val="32"/>
          <w:highlight w:val="none"/>
          <w:lang w:val="en-US" w:eastAsia="zh-CN"/>
        </w:rPr>
        <w:t>290</w:t>
      </w:r>
      <w:r>
        <w:rPr>
          <w:rFonts w:hint="eastAsia" w:ascii="仿宋" w:hAnsi="仿宋" w:eastAsia="仿宋"/>
          <w:sz w:val="32"/>
          <w:szCs w:val="32"/>
          <w:highlight w:val="none"/>
        </w:rPr>
        <w:t>.4</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万元，预算执行率为9</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92</w:t>
      </w:r>
      <w:r>
        <w:rPr>
          <w:rFonts w:hint="eastAsia" w:ascii="仿宋" w:hAnsi="仿宋" w:eastAsia="仿宋"/>
          <w:sz w:val="32"/>
          <w:szCs w:val="32"/>
          <w:highlight w:val="none"/>
        </w:rPr>
        <w:t xml:space="preserve">%。工资福利支出 </w:t>
      </w:r>
      <w:r>
        <w:rPr>
          <w:rFonts w:hint="eastAsia" w:ascii="仿宋" w:hAnsi="仿宋" w:eastAsia="仿宋"/>
          <w:sz w:val="32"/>
          <w:szCs w:val="32"/>
          <w:highlight w:val="none"/>
          <w:lang w:val="en-US" w:eastAsia="zh-CN"/>
        </w:rPr>
        <w:t>950</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9</w:t>
      </w:r>
      <w:r>
        <w:rPr>
          <w:rFonts w:hint="eastAsia" w:ascii="仿宋" w:hAnsi="仿宋" w:eastAsia="仿宋"/>
          <w:sz w:val="32"/>
          <w:szCs w:val="32"/>
          <w:highlight w:val="none"/>
        </w:rPr>
        <w:t>万元，商品和服务支出1</w:t>
      </w:r>
      <w:r>
        <w:rPr>
          <w:rFonts w:hint="eastAsia" w:ascii="仿宋" w:hAnsi="仿宋" w:eastAsia="仿宋"/>
          <w:sz w:val="32"/>
          <w:szCs w:val="32"/>
          <w:highlight w:val="none"/>
          <w:lang w:val="en-US" w:eastAsia="zh-CN"/>
        </w:rPr>
        <w:t>303</w:t>
      </w:r>
      <w:r>
        <w:rPr>
          <w:rFonts w:hint="eastAsia" w:ascii="仿宋" w:hAnsi="仿宋" w:eastAsia="仿宋"/>
          <w:sz w:val="32"/>
          <w:szCs w:val="32"/>
          <w:highlight w:val="none"/>
        </w:rPr>
        <w:t>.16万元，对个人和家庭的补助支出36.37万元。</w:t>
      </w:r>
      <w:r>
        <w:rPr>
          <w:rFonts w:hint="eastAsia" w:ascii="仿宋" w:hAnsi="仿宋" w:eastAsia="仿宋" w:cs="仿宋"/>
          <w:sz w:val="32"/>
          <w:szCs w:val="32"/>
          <w:highlight w:val="none"/>
        </w:rPr>
        <w:t>三公经费中因公出国（境）费0万元；公务接待费0.11万元；公务用车运行维护费9.77万元。</w:t>
      </w:r>
    </w:p>
    <w:p>
      <w:pPr>
        <w:spacing w:beforeLines="0" w:afterLines="0" w:line="600" w:lineRule="exact"/>
        <w:ind w:firstLine="640" w:firstLineChars="200"/>
        <w:rPr>
          <w:rFonts w:hint="eastAsia" w:ascii="楷体" w:hAnsi="楷体" w:eastAsia="楷体" w:cs="楷体"/>
          <w:sz w:val="32"/>
          <w:szCs w:val="32"/>
          <w:highlight w:val="none"/>
        </w:rPr>
      </w:pPr>
      <w:r>
        <w:rPr>
          <w:rFonts w:hint="eastAsia" w:ascii="楷体" w:hAnsi="楷体" w:eastAsia="楷体" w:cs="楷体"/>
          <w:sz w:val="32"/>
          <w:szCs w:val="32"/>
          <w:highlight w:val="none"/>
        </w:rPr>
        <w:t>（二）项目支出情况</w:t>
      </w:r>
    </w:p>
    <w:p>
      <w:pPr>
        <w:pStyle w:val="15"/>
        <w:spacing w:beforeLines="0" w:afterLines="0" w:line="600" w:lineRule="exact"/>
        <w:ind w:firstLine="640"/>
        <w:rPr>
          <w:rFonts w:hint="eastAsia" w:ascii="仿宋" w:hAnsi="仿宋" w:eastAsia="仿宋"/>
          <w:sz w:val="32"/>
          <w:szCs w:val="32"/>
          <w:highlight w:val="none"/>
        </w:rPr>
      </w:pPr>
      <w:r>
        <w:rPr>
          <w:rFonts w:hint="eastAsia" w:ascii="仿宋" w:hAnsi="仿宋" w:eastAsia="仿宋"/>
          <w:sz w:val="32"/>
          <w:szCs w:val="32"/>
          <w:highlight w:val="none"/>
        </w:rPr>
        <w:t>2023年项目支出全年预算为</w:t>
      </w:r>
      <w:r>
        <w:rPr>
          <w:rFonts w:hint="eastAsia" w:ascii="仿宋" w:hAnsi="仿宋" w:eastAsia="仿宋"/>
          <w:sz w:val="32"/>
          <w:szCs w:val="32"/>
          <w:highlight w:val="none"/>
          <w:lang w:val="en-US" w:eastAsia="zh-CN"/>
        </w:rPr>
        <w:t>65</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46</w:t>
      </w:r>
      <w:r>
        <w:rPr>
          <w:rFonts w:hint="eastAsia" w:ascii="仿宋" w:hAnsi="仿宋" w:eastAsia="仿宋"/>
          <w:sz w:val="32"/>
          <w:szCs w:val="32"/>
          <w:highlight w:val="none"/>
        </w:rPr>
        <w:t>万元，全年共支出</w:t>
      </w:r>
      <w:r>
        <w:rPr>
          <w:rFonts w:hint="eastAsia" w:ascii="仿宋" w:hAnsi="仿宋" w:eastAsia="仿宋"/>
          <w:sz w:val="32"/>
          <w:szCs w:val="32"/>
          <w:highlight w:val="none"/>
          <w:lang w:val="en-US" w:eastAsia="zh-CN"/>
        </w:rPr>
        <w:t>63</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02</w:t>
      </w:r>
      <w:r>
        <w:rPr>
          <w:rFonts w:hint="eastAsia" w:ascii="仿宋" w:hAnsi="仿宋" w:eastAsia="仿宋"/>
          <w:sz w:val="32"/>
          <w:szCs w:val="32"/>
          <w:highlight w:val="none"/>
        </w:rPr>
        <w:t>万元，预算执行率为</w:t>
      </w:r>
      <w:r>
        <w:rPr>
          <w:rFonts w:hint="eastAsia" w:ascii="仿宋" w:hAnsi="仿宋" w:eastAsia="仿宋"/>
          <w:sz w:val="32"/>
          <w:szCs w:val="32"/>
          <w:highlight w:val="none"/>
          <w:lang w:val="en-US" w:eastAsia="zh-CN"/>
        </w:rPr>
        <w:t>96</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27</w:t>
      </w:r>
      <w:r>
        <w:rPr>
          <w:rFonts w:hint="eastAsia" w:ascii="仿宋" w:hAnsi="仿宋" w:eastAsia="仿宋"/>
          <w:sz w:val="32"/>
          <w:szCs w:val="32"/>
          <w:highlight w:val="none"/>
        </w:rPr>
        <w:t>%。个私工作经费支出28.26万元，其他资本性支出34.76万元。</w:t>
      </w:r>
    </w:p>
    <w:p>
      <w:pPr>
        <w:adjustRightInd w:val="0"/>
        <w:snapToGrid w:val="0"/>
        <w:spacing w:beforeLines="0" w:afterLines="0" w:line="600" w:lineRule="exact"/>
        <w:ind w:firstLine="640" w:firstLineChars="200"/>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rPr>
        <w:t>三、政府性基金预算支出情况</w:t>
      </w:r>
    </w:p>
    <w:p>
      <w:pPr>
        <w:adjustRightInd w:val="0"/>
        <w:snapToGrid w:val="0"/>
        <w:spacing w:beforeLines="0" w:afterLines="0" w:line="60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2023年我中心无政府性基金预算支出情况。</w:t>
      </w:r>
    </w:p>
    <w:p>
      <w:pPr>
        <w:adjustRightInd w:val="0"/>
        <w:snapToGrid w:val="0"/>
        <w:spacing w:beforeLines="0" w:afterLines="0" w:line="600" w:lineRule="exact"/>
        <w:ind w:firstLine="640" w:firstLineChars="200"/>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rPr>
        <w:t>四、国有资本经营预算支出情况</w:t>
      </w:r>
    </w:p>
    <w:p>
      <w:pPr>
        <w:adjustRightInd w:val="0"/>
        <w:snapToGrid w:val="0"/>
        <w:spacing w:beforeLines="0" w:afterLines="0" w:line="60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2023年我中心无国有资本经营预算支出情况。</w:t>
      </w:r>
    </w:p>
    <w:p>
      <w:pPr>
        <w:adjustRightInd w:val="0"/>
        <w:snapToGrid w:val="0"/>
        <w:spacing w:beforeLines="0" w:afterLines="0" w:line="600" w:lineRule="exact"/>
        <w:ind w:firstLine="640" w:firstLineChars="200"/>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rPr>
        <w:t>五、社会保险基金预算支出情况</w:t>
      </w:r>
    </w:p>
    <w:p>
      <w:pPr>
        <w:adjustRightInd w:val="0"/>
        <w:snapToGrid w:val="0"/>
        <w:spacing w:beforeLines="0" w:afterLines="0" w:line="60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2023年我中心无社会保险基金预算支出情况。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hint="eastAsia" w:ascii="方正黑体_GBK" w:eastAsia="方正黑体_GBK" w:cs="微软雅黑"/>
          <w:sz w:val="32"/>
          <w:szCs w:val="32"/>
          <w:highlight w:val="none"/>
        </w:rPr>
      </w:pPr>
      <w:r>
        <w:rPr>
          <w:rFonts w:hint="eastAsia" w:ascii="方正黑体_GBK" w:eastAsia="方正黑体_GBK" w:cs="微软雅黑"/>
          <w:sz w:val="32"/>
          <w:szCs w:val="32"/>
          <w:highlight w:val="none"/>
        </w:rPr>
        <w:t>六、单位整体支出绩效情况</w:t>
      </w:r>
    </w:p>
    <w:p>
      <w:pPr>
        <w:pStyle w:val="15"/>
        <w:spacing w:beforeLines="0" w:afterLines="0" w:line="600" w:lineRule="exact"/>
        <w:ind w:firstLine="608" w:firstLineChars="190"/>
        <w:rPr>
          <w:rFonts w:hint="eastAsia" w:ascii="楷体" w:hAnsi="楷体" w:eastAsia="楷体" w:cs="楷体"/>
          <w:sz w:val="32"/>
          <w:szCs w:val="32"/>
          <w:highlight w:val="none"/>
        </w:rPr>
      </w:pPr>
      <w:r>
        <w:rPr>
          <w:rFonts w:hint="eastAsia" w:ascii="楷体" w:hAnsi="楷体" w:eastAsia="楷体" w:cs="楷体"/>
          <w:sz w:val="32"/>
          <w:szCs w:val="32"/>
          <w:highlight w:val="none"/>
        </w:rPr>
        <w:t>（一）预算支出整体绩效</w:t>
      </w:r>
    </w:p>
    <w:p>
      <w:pPr>
        <w:pStyle w:val="15"/>
        <w:spacing w:beforeLines="0" w:afterLines="0" w:line="600" w:lineRule="exact"/>
        <w:ind w:firstLine="608" w:firstLineChars="190"/>
        <w:rPr>
          <w:rFonts w:hint="eastAsia" w:ascii="仿宋" w:hAnsi="仿宋" w:eastAsia="仿宋"/>
          <w:sz w:val="32"/>
          <w:szCs w:val="32"/>
          <w:highlight w:val="none"/>
        </w:rPr>
      </w:pPr>
      <w:r>
        <w:rPr>
          <w:rFonts w:hint="eastAsia" w:ascii="仿宋" w:hAnsi="仿宋" w:eastAsia="仿宋"/>
          <w:sz w:val="32"/>
          <w:szCs w:val="32"/>
          <w:highlight w:val="none"/>
        </w:rPr>
        <w:t>2023年，我中心全年预算数为2530.53万元，支出2353.45万元，其中：基本支出为2290.43万元，项目支出63.02万元。事务中心严格按照中央八项规定精神和各项财务管理制度，在资金的管理和使用上，坚持统筹兼顾、厉行节约、提高效益的原则，合理安排日常公用经费资金及项目资金，预算执行总体较为有效，保证了中心各项工作的正常运转。</w:t>
      </w:r>
    </w:p>
    <w:p>
      <w:pPr>
        <w:pStyle w:val="15"/>
        <w:numPr>
          <w:ilvl w:val="0"/>
          <w:numId w:val="1"/>
        </w:numPr>
        <w:spacing w:beforeLines="0" w:afterLines="0" w:line="600" w:lineRule="exact"/>
        <w:ind w:firstLine="608" w:firstLineChars="190"/>
        <w:rPr>
          <w:rFonts w:hint="eastAsia" w:ascii="仿宋" w:hAnsi="仿宋" w:eastAsia="仿宋"/>
          <w:sz w:val="32"/>
          <w:szCs w:val="32"/>
          <w:highlight w:val="none"/>
        </w:rPr>
      </w:pPr>
      <w:r>
        <w:rPr>
          <w:rFonts w:hint="eastAsia" w:ascii="楷体" w:hAnsi="楷体" w:eastAsia="楷体" w:cs="楷体"/>
          <w:sz w:val="32"/>
          <w:szCs w:val="32"/>
          <w:highlight w:val="none"/>
        </w:rPr>
        <w:t>预算执行管理</w:t>
      </w:r>
    </w:p>
    <w:p>
      <w:pPr>
        <w:pStyle w:val="15"/>
        <w:spacing w:beforeLines="0" w:afterLines="0" w:line="600" w:lineRule="exact"/>
        <w:ind w:firstLine="640"/>
        <w:rPr>
          <w:rFonts w:hint="eastAsia" w:ascii="仿宋" w:hAnsi="仿宋" w:eastAsia="仿宋"/>
          <w:sz w:val="32"/>
          <w:szCs w:val="32"/>
          <w:highlight w:val="none"/>
        </w:rPr>
      </w:pPr>
      <w:r>
        <w:rPr>
          <w:rFonts w:hint="eastAsia" w:ascii="仿宋" w:hAnsi="仿宋" w:eastAsia="仿宋"/>
          <w:sz w:val="32"/>
          <w:szCs w:val="32"/>
          <w:highlight w:val="none"/>
        </w:rPr>
        <w:t>1、加强预算管理和执行力度，本着厉行节约原则，本年度严格按照有关规定和工作需要，科学、合理地安排资金，既保证了支出总额控制在预算总额以内，又提高了基本支出预算执行率。</w:t>
      </w:r>
    </w:p>
    <w:p>
      <w:pPr>
        <w:pStyle w:val="15"/>
        <w:spacing w:beforeLines="0" w:afterLines="0" w:line="600" w:lineRule="exact"/>
        <w:ind w:firstLine="640"/>
        <w:rPr>
          <w:rFonts w:hint="eastAsia" w:ascii="仿宋" w:hAnsi="仿宋" w:eastAsia="仿宋"/>
          <w:sz w:val="32"/>
          <w:szCs w:val="32"/>
          <w:highlight w:val="none"/>
        </w:rPr>
      </w:pPr>
      <w:r>
        <w:rPr>
          <w:rFonts w:hint="eastAsia" w:ascii="仿宋" w:hAnsi="仿宋" w:eastAsia="仿宋"/>
          <w:sz w:val="32"/>
          <w:szCs w:val="32"/>
          <w:highlight w:val="none"/>
        </w:rPr>
        <w:t>2、严格按照财务管理制度，</w:t>
      </w:r>
      <w:r>
        <w:rPr>
          <w:rFonts w:hint="eastAsia" w:ascii="仿宋" w:hAnsi="仿宋" w:eastAsia="仿宋" w:cs="仿宋"/>
          <w:sz w:val="32"/>
          <w:szCs w:val="32"/>
          <w:highlight w:val="none"/>
        </w:rPr>
        <w:t>贯彻落实中央八项规定精神及行政单位内部控制规范等，规范财务管理，强化资金使用约束力，加强经费审批和控制，规范支出标准与范围，并严格执行。</w:t>
      </w:r>
    </w:p>
    <w:p>
      <w:pPr>
        <w:pStyle w:val="15"/>
        <w:numPr>
          <w:ilvl w:val="0"/>
          <w:numId w:val="0"/>
        </w:numPr>
        <w:spacing w:beforeLines="0" w:afterLines="0" w:line="600" w:lineRule="exact"/>
        <w:ind w:firstLine="640"/>
        <w:rPr>
          <w:rFonts w:hint="eastAsia" w:ascii="楷体" w:hAnsi="楷体" w:eastAsia="楷体" w:cs="楷体"/>
          <w:sz w:val="32"/>
          <w:szCs w:val="32"/>
          <w:highlight w:val="none"/>
        </w:rPr>
      </w:pPr>
      <w:r>
        <w:rPr>
          <w:rFonts w:hint="eastAsia" w:ascii="仿宋" w:hAnsi="仿宋" w:eastAsia="仿宋"/>
          <w:sz w:val="32"/>
          <w:szCs w:val="32"/>
          <w:highlight w:val="none"/>
        </w:rPr>
        <w:t>3、根据新会计制度改革后资产管理纳入预算管理一体化体系的新要求，2023年6月，事务中心按照《行政事业单位资产清查暂行办法》及其他有关规定，以2023年6月30日为资产清查基准日对本单位进行了固定资产清查。根据账实核对结果，将确认无误的固定资产明细数据录入到行政事业资产管理信息系统中，使财务账和资产管理系统实物账实现“账账相符”。</w:t>
      </w:r>
    </w:p>
    <w:p>
      <w:pPr>
        <w:pStyle w:val="15"/>
        <w:spacing w:beforeLines="0" w:afterLines="0" w:line="600" w:lineRule="exact"/>
        <w:ind w:firstLine="608" w:firstLineChars="190"/>
        <w:rPr>
          <w:rFonts w:hint="eastAsia" w:ascii="楷体" w:hAnsi="楷体" w:eastAsia="楷体" w:cs="楷体"/>
          <w:sz w:val="32"/>
          <w:szCs w:val="32"/>
          <w:highlight w:val="none"/>
        </w:rPr>
      </w:pPr>
      <w:r>
        <w:rPr>
          <w:rFonts w:hint="eastAsia" w:ascii="楷体" w:hAnsi="楷体" w:eastAsia="楷体" w:cs="楷体"/>
          <w:sz w:val="32"/>
          <w:szCs w:val="32"/>
          <w:highlight w:val="none"/>
        </w:rPr>
        <w:t>（三）单位制度建设</w:t>
      </w:r>
    </w:p>
    <w:p>
      <w:pPr>
        <w:pStyle w:val="15"/>
        <w:spacing w:beforeLines="0" w:afterLines="0" w:line="600" w:lineRule="exact"/>
        <w:ind w:firstLine="570" w:firstLineChars="190"/>
        <w:rPr>
          <w:rFonts w:hint="eastAsia" w:ascii="楷体" w:hAnsi="楷体" w:eastAsia="楷体" w:cs="楷体"/>
          <w:sz w:val="32"/>
          <w:szCs w:val="32"/>
          <w:highlight w:val="none"/>
        </w:rPr>
      </w:pPr>
      <w:r>
        <w:rPr>
          <w:rFonts w:hint="eastAsia" w:ascii="仿宋" w:hAnsi="仿宋" w:eastAsia="仿宋"/>
          <w:spacing w:val="-10"/>
          <w:sz w:val="32"/>
          <w:szCs w:val="32"/>
          <w:highlight w:val="none"/>
        </w:rPr>
        <w:t>2023年事务中心依据《行政事业单位内部控制规范》建立了适合本单位实际情况的内部控制制度，尤其是通过《省局机关公务车辆使用管理暂行办法》，规范了公务车辆派车、审批、维修保养及安全管理，通过《劳务派遣人员管理实施细则》，规范了人员管理，完善了人员聘用、考核等相关规定流程。</w:t>
      </w:r>
    </w:p>
    <w:p>
      <w:pPr>
        <w:pStyle w:val="15"/>
        <w:spacing w:beforeLines="0" w:afterLines="0" w:line="600" w:lineRule="exact"/>
        <w:ind w:firstLine="608" w:firstLineChars="190"/>
        <w:rPr>
          <w:rFonts w:hint="eastAsia" w:ascii="楷体" w:hAnsi="楷体" w:eastAsia="楷体" w:cs="楷体"/>
          <w:sz w:val="32"/>
          <w:szCs w:val="32"/>
          <w:highlight w:val="none"/>
        </w:rPr>
      </w:pPr>
      <w:r>
        <w:rPr>
          <w:rFonts w:hint="eastAsia" w:ascii="楷体" w:hAnsi="楷体" w:eastAsia="楷体" w:cs="楷体"/>
          <w:sz w:val="32"/>
          <w:szCs w:val="32"/>
          <w:highlight w:val="none"/>
        </w:rPr>
        <w:t>（四）产生的社会效益</w:t>
      </w:r>
    </w:p>
    <w:p>
      <w:pPr>
        <w:pStyle w:val="15"/>
        <w:spacing w:beforeLines="0" w:afterLines="0" w:line="600" w:lineRule="exact"/>
        <w:ind w:firstLine="608" w:firstLineChars="190"/>
        <w:rPr>
          <w:rFonts w:hint="eastAsia" w:ascii="仿宋" w:hAnsi="仿宋" w:eastAsia="仿宋" w:cs="仿宋"/>
          <w:sz w:val="32"/>
          <w:szCs w:val="32"/>
          <w:highlight w:val="none"/>
        </w:rPr>
      </w:pPr>
      <w:r>
        <w:rPr>
          <w:rFonts w:hint="eastAsia" w:ascii="仿宋" w:hAnsi="仿宋" w:eastAsia="仿宋" w:cs="仿宋"/>
          <w:sz w:val="32"/>
          <w:szCs w:val="32"/>
          <w:highlight w:val="none"/>
        </w:rPr>
        <w:t>2023年事务中心开展了“特湘小店”成长计划活动和“招才引智”光彩服务月活动，以“</w:t>
      </w:r>
      <w:r>
        <w:rPr>
          <w:rFonts w:hint="eastAsia" w:ascii="仿宋" w:hAnsi="仿宋" w:eastAsia="仿宋" w:cs="仿宋"/>
          <w:spacing w:val="-6"/>
          <w:sz w:val="32"/>
          <w:szCs w:val="32"/>
          <w:highlight w:val="none"/>
        </w:rPr>
        <w:t>人才赋能促发展，扩大就业惠民生</w:t>
      </w:r>
      <w:r>
        <w:rPr>
          <w:rFonts w:hint="eastAsia" w:ascii="仿宋" w:hAnsi="仿宋" w:eastAsia="仿宋" w:cs="仿宋"/>
          <w:sz w:val="32"/>
          <w:szCs w:val="32"/>
          <w:highlight w:val="none"/>
        </w:rPr>
        <w:t>”为主题，围绕个私企业和重点就业群体，依托湖南人才网搭建了求职招聘供需平台，开展了网络招聘、直播带岗、“省市联动”线下宣传推介等线上线下活动，积极推进就业创业。不仅带动了单位整体业务的发展，也产生了良好的社会效益。</w:t>
      </w:r>
    </w:p>
    <w:p>
      <w:pPr>
        <w:pStyle w:val="15"/>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七、存在的问题及原因分析</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主要是绩效管理认识不够，在填报项目支出时未能严格细化分解、量化，没有积极跟踪项目实施进度。</w:t>
      </w:r>
      <w:r>
        <w:rPr>
          <w:rFonts w:hint="eastAsia" w:ascii="仿宋" w:hAnsi="仿宋" w:eastAsia="仿宋" w:cs="仿宋"/>
          <w:sz w:val="32"/>
          <w:szCs w:val="32"/>
          <w:highlight w:val="none"/>
          <w:lang w:eastAsia="zh-CN"/>
        </w:rPr>
        <w:t>本单位</w:t>
      </w:r>
      <w:r>
        <w:rPr>
          <w:rFonts w:hint="eastAsia" w:ascii="仿宋" w:hAnsi="仿宋" w:eastAsia="仿宋" w:cs="仿宋"/>
          <w:i w:val="0"/>
          <w:caps w:val="0"/>
          <w:color w:val="333333"/>
          <w:spacing w:val="0"/>
          <w:kern w:val="0"/>
          <w:sz w:val="32"/>
          <w:szCs w:val="32"/>
          <w:shd w:val="clear" w:fill="FFFFFF"/>
          <w:lang w:val="en-US" w:eastAsia="zh-CN" w:bidi="ar"/>
        </w:rPr>
        <w:t>虽然认识到全面预算管理的作用，但未细化到各部门年度工作计划，各部门对预算工作抱应付态度，认为这是财务部门的工作，与本部门关系不大，导致做出的预算缺乏实际指导意义，缺乏各部门与财务部门之间的沟通与反馈。</w:t>
      </w:r>
    </w:p>
    <w:p>
      <w:pPr>
        <w:widowControl/>
        <w:spacing w:beforeLines="0" w:afterLines="0" w:line="60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八、下一步改进措施</w:t>
      </w:r>
    </w:p>
    <w:p>
      <w:pPr>
        <w:pStyle w:val="15"/>
        <w:spacing w:beforeLines="0" w:afterLines="0" w:line="600" w:lineRule="exact"/>
        <w:ind w:firstLine="608" w:firstLineChars="190"/>
        <w:rPr>
          <w:rFonts w:hint="eastAsia" w:ascii="仿宋" w:hAnsi="仿宋" w:eastAsia="仿宋"/>
          <w:sz w:val="32"/>
          <w:szCs w:val="32"/>
          <w:highlight w:val="none"/>
        </w:rPr>
      </w:pPr>
      <w:r>
        <w:rPr>
          <w:rFonts w:hint="eastAsia" w:ascii="仿宋" w:hAnsi="仿宋" w:eastAsia="仿宋"/>
          <w:sz w:val="32"/>
          <w:szCs w:val="32"/>
          <w:highlight w:val="none"/>
        </w:rPr>
        <w:t>一是认真编制预算。进一步提高各部门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确保中心年度预算合理、准确。二是加强财务管理。在费用报账支付时，按照预算规定的费用项目和用途进行资金使用审核、报账支付、财务核算，杜绝超支现象发生。三是加强对业务部门的财务指导。通过培训与管理，达到业务工作与财务工作紧密衔接，确保每一笔资金用到实处、用得高效，推动实施预算绩效管理工作常态化、制度化、规范化。四是加强项目开展进度的跟踪，开展项目绩效评价，确保项目绩效目标的完成。</w:t>
      </w:r>
    </w:p>
    <w:p>
      <w:pPr>
        <w:adjustRightInd w:val="0"/>
        <w:snapToGrid w:val="0"/>
        <w:spacing w:beforeLines="0" w:afterLines="0" w:line="60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九、</w:t>
      </w:r>
      <w:r>
        <w:rPr>
          <w:rFonts w:hint="eastAsia" w:ascii="方正黑体_GBK" w:hAnsi="方正黑体_GBK" w:eastAsia="方正黑体_GBK" w:cs="方正黑体_GBK"/>
          <w:sz w:val="32"/>
          <w:szCs w:val="32"/>
          <w:highlight w:val="none"/>
        </w:rPr>
        <w:t>单位整体支出绩效自评结果拟应用和公开情况</w:t>
      </w:r>
    </w:p>
    <w:p>
      <w:pPr>
        <w:pStyle w:val="15"/>
        <w:spacing w:beforeLines="0" w:afterLines="0" w:line="600" w:lineRule="exact"/>
        <w:ind w:firstLine="592" w:firstLineChars="190"/>
        <w:rPr>
          <w:rFonts w:hint="eastAsia" w:ascii="仿宋" w:hAnsi="仿宋" w:eastAsia="仿宋"/>
          <w:spacing w:val="-4"/>
          <w:sz w:val="32"/>
          <w:szCs w:val="32"/>
          <w:highlight w:val="none"/>
        </w:rPr>
      </w:pPr>
      <w:r>
        <w:rPr>
          <w:rFonts w:hint="eastAsia" w:ascii="仿宋" w:hAnsi="仿宋" w:eastAsia="仿宋"/>
          <w:spacing w:val="-4"/>
          <w:sz w:val="32"/>
          <w:szCs w:val="32"/>
          <w:highlight w:val="none"/>
        </w:rPr>
        <w:t>2023年事务中心严格按照年初预算批复认真组织实施,严格执行财政相关管理规定，确保了单位正常运行，较好地完成了2023年部门预算编制和决算汇总工作，较好地实现了单位整体支出绩效目标任务，绩效自评结果为良好。</w:t>
      </w:r>
    </w:p>
    <w:p>
      <w:pPr>
        <w:adjustRightInd w:val="0"/>
        <w:snapToGrid w:val="0"/>
        <w:spacing w:beforeLines="0" w:afterLines="0" w:line="60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按文件要求在指定网站上公开。</w:t>
      </w:r>
    </w:p>
    <w:p>
      <w:pPr>
        <w:widowControl/>
        <w:adjustRightInd w:val="0"/>
        <w:snapToGrid w:val="0"/>
        <w:spacing w:beforeLines="0" w:afterLines="0" w:line="600" w:lineRule="exact"/>
        <w:ind w:firstLine="640" w:firstLineChars="200"/>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rPr>
        <w:t>十、其他需要说明的情况</w:t>
      </w:r>
    </w:p>
    <w:p>
      <w:pPr>
        <w:widowControl/>
        <w:adjustRightInd w:val="0"/>
        <w:snapToGrid w:val="0"/>
        <w:spacing w:beforeLines="0" w:afterLines="0" w:line="60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无</w:t>
      </w: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pStyle w:val="2"/>
        <w:spacing w:beforeLines="0" w:afterLines="0"/>
        <w:rPr>
          <w:rFonts w:hint="eastAsia" w:ascii="仿宋" w:hAnsi="仿宋" w:eastAsia="仿宋" w:cs="仿宋"/>
          <w:sz w:val="32"/>
          <w:szCs w:val="32"/>
          <w:highlight w:val="none"/>
        </w:rPr>
      </w:pPr>
    </w:p>
    <w:p>
      <w:pPr>
        <w:spacing w:before="104" w:beforeLines="0" w:afterLines="0" w:line="424" w:lineRule="exact"/>
        <w:ind w:left="69"/>
        <w:rPr>
          <w:rFonts w:hint="default" w:ascii="Times New Roman" w:hAnsi="Times New Roman" w:eastAsia="Times New Roman"/>
          <w:sz w:val="32"/>
          <w:szCs w:val="32"/>
          <w:highlight w:val="none"/>
        </w:rPr>
      </w:pPr>
      <w:r>
        <w:rPr>
          <w:rFonts w:hint="eastAsia" w:ascii="黑体" w:hAnsi="黑体" w:eastAsia="黑体" w:cs="黑体"/>
          <w:spacing w:val="-27"/>
          <w:position w:val="1"/>
          <w:sz w:val="32"/>
          <w:szCs w:val="32"/>
          <w:highlight w:val="none"/>
        </w:rPr>
        <w:t>附</w:t>
      </w:r>
      <w:r>
        <w:rPr>
          <w:rFonts w:hint="eastAsia" w:ascii="黑体" w:hAnsi="黑体" w:eastAsia="黑体" w:cs="黑体"/>
          <w:spacing w:val="-26"/>
          <w:position w:val="1"/>
          <w:sz w:val="32"/>
          <w:szCs w:val="32"/>
          <w:highlight w:val="none"/>
        </w:rPr>
        <w:t>件</w:t>
      </w:r>
      <w:r>
        <w:rPr>
          <w:rFonts w:hint="default" w:ascii="Times New Roman" w:hAnsi="Times New Roman" w:eastAsia="Times New Roman"/>
          <w:spacing w:val="-26"/>
          <w:position w:val="1"/>
          <w:sz w:val="32"/>
          <w:szCs w:val="32"/>
          <w:highlight w:val="none"/>
        </w:rPr>
        <w:t>2</w:t>
      </w:r>
    </w:p>
    <w:p>
      <w:pPr>
        <w:spacing w:before="327" w:beforeLines="0" w:afterLines="0" w:line="182" w:lineRule="auto"/>
        <w:ind w:left="289"/>
        <w:jc w:val="center"/>
        <w:rPr>
          <w:rFonts w:hint="eastAsia" w:ascii="微软雅黑" w:hAnsi="微软雅黑" w:eastAsia="微软雅黑" w:cs="微软雅黑"/>
          <w:spacing w:val="-8"/>
          <w:sz w:val="36"/>
          <w:szCs w:val="36"/>
          <w:highlight w:val="none"/>
        </w:rPr>
      </w:pPr>
      <w:r>
        <w:rPr>
          <w:rFonts w:hint="eastAsia" w:ascii="微软雅黑" w:hAnsi="微软雅黑" w:eastAsia="微软雅黑" w:cs="微软雅黑"/>
          <w:spacing w:val="-11"/>
          <w:sz w:val="36"/>
          <w:szCs w:val="36"/>
          <w:highlight w:val="none"/>
        </w:rPr>
        <w:t>2</w:t>
      </w:r>
      <w:r>
        <w:rPr>
          <w:rFonts w:hint="eastAsia" w:ascii="微软雅黑" w:hAnsi="微软雅黑" w:eastAsia="微软雅黑" w:cs="微软雅黑"/>
          <w:spacing w:val="-8"/>
          <w:sz w:val="36"/>
          <w:szCs w:val="36"/>
          <w:highlight w:val="none"/>
        </w:rPr>
        <w:t>023年度单位整体支出绩效评价基础数据表</w:t>
      </w:r>
    </w:p>
    <w:tbl>
      <w:tblPr>
        <w:tblStyle w:val="9"/>
        <w:tblW w:w="967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财政供养人员情况（人）</w:t>
            </w:r>
          </w:p>
        </w:tc>
        <w:tc>
          <w:tcPr>
            <w:tcW w:w="2038" w:type="dxa"/>
            <w:gridSpan w:val="2"/>
            <w:tcBorders>
              <w:top w:val="single" w:color="auto" w:sz="4" w:space="0"/>
              <w:left w:val="nil"/>
              <w:bottom w:val="single" w:color="auto" w:sz="4" w:space="0"/>
              <w:right w:val="single" w:color="auto" w:sz="4" w:space="0"/>
              <w:tl2br w:val="nil"/>
              <w:tr2bl w:val="nil"/>
            </w:tcBorders>
            <w:vAlign w:val="center"/>
          </w:tcPr>
          <w:p>
            <w:pPr>
              <w:spacing w:beforeLines="0" w:afterLines="0" w:line="360" w:lineRule="exact"/>
              <w:jc w:val="center"/>
              <w:rPr>
                <w:rFonts w:hint="default" w:ascii="Times New Roman" w:hAnsi="Times New Roman" w:eastAsia="仿宋_GB2312"/>
                <w:b/>
                <w:sz w:val="20"/>
                <w:szCs w:val="20"/>
                <w:highlight w:val="none"/>
              </w:rPr>
            </w:pPr>
            <w:r>
              <w:rPr>
                <w:rFonts w:hint="eastAsia" w:ascii="Times New Roman" w:hAnsi="Times New Roman" w:eastAsia="仿宋_GB2312"/>
                <w:b/>
                <w:sz w:val="20"/>
                <w:szCs w:val="20"/>
                <w:highlight w:val="none"/>
              </w:rPr>
              <w:t>编制数</w:t>
            </w:r>
          </w:p>
        </w:tc>
        <w:tc>
          <w:tcPr>
            <w:tcW w:w="2240" w:type="dxa"/>
            <w:gridSpan w:val="2"/>
            <w:tcBorders>
              <w:top w:val="single" w:color="auto" w:sz="4" w:space="0"/>
              <w:left w:val="nil"/>
              <w:bottom w:val="single" w:color="auto" w:sz="4" w:space="0"/>
              <w:right w:val="single" w:color="auto" w:sz="4" w:space="0"/>
              <w:tl2br w:val="nil"/>
              <w:tr2bl w:val="nil"/>
            </w:tcBorders>
            <w:vAlign w:val="center"/>
          </w:tcPr>
          <w:p>
            <w:pPr>
              <w:spacing w:beforeLines="0" w:afterLines="0" w:line="360" w:lineRule="exact"/>
              <w:jc w:val="center"/>
              <w:rPr>
                <w:rFonts w:hint="default" w:ascii="Times New Roman" w:hAnsi="Times New Roman" w:eastAsia="仿宋_GB2312"/>
                <w:b/>
                <w:sz w:val="20"/>
                <w:szCs w:val="20"/>
                <w:highlight w:val="none"/>
              </w:rPr>
            </w:pPr>
            <w:r>
              <w:rPr>
                <w:rFonts w:hint="default" w:ascii="Times New Roman" w:hAnsi="Times New Roman" w:eastAsia="仿宋_GB2312"/>
                <w:b/>
                <w:sz w:val="20"/>
                <w:szCs w:val="20"/>
                <w:highlight w:val="none"/>
              </w:rPr>
              <w:t>202</w:t>
            </w:r>
            <w:r>
              <w:rPr>
                <w:rFonts w:hint="eastAsia" w:ascii="Times New Roman" w:hAnsi="Times New Roman" w:eastAsia="仿宋_GB2312"/>
                <w:b/>
                <w:sz w:val="20"/>
                <w:szCs w:val="20"/>
                <w:highlight w:val="none"/>
              </w:rPr>
              <w:t>3年实际在职人数</w:t>
            </w:r>
          </w:p>
        </w:tc>
        <w:tc>
          <w:tcPr>
            <w:tcW w:w="2041" w:type="dxa"/>
            <w:gridSpan w:val="2"/>
            <w:tcBorders>
              <w:top w:val="single" w:color="auto" w:sz="4" w:space="0"/>
              <w:left w:val="nil"/>
              <w:bottom w:val="single" w:color="auto" w:sz="4" w:space="0"/>
              <w:right w:val="single" w:color="auto" w:sz="4" w:space="0"/>
              <w:tl2br w:val="nil"/>
              <w:tr2bl w:val="nil"/>
            </w:tcBorders>
            <w:vAlign w:val="center"/>
          </w:tcPr>
          <w:p>
            <w:pPr>
              <w:spacing w:beforeLines="0" w:afterLines="0" w:line="360" w:lineRule="exact"/>
              <w:jc w:val="center"/>
              <w:rPr>
                <w:rFonts w:hint="default" w:ascii="Times New Roman" w:hAnsi="Times New Roman" w:eastAsia="仿宋_GB2312"/>
                <w:b/>
                <w:sz w:val="20"/>
                <w:szCs w:val="20"/>
                <w:highlight w:val="none"/>
              </w:rPr>
            </w:pPr>
            <w:r>
              <w:rPr>
                <w:rFonts w:hint="eastAsia" w:ascii="Times New Roman" w:hAnsi="Times New Roman" w:eastAsia="仿宋_GB2312"/>
                <w:b/>
                <w:sz w:val="20"/>
                <w:szCs w:val="20"/>
                <w:highlight w:val="none"/>
              </w:rPr>
              <w:t>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p>
        </w:tc>
        <w:tc>
          <w:tcPr>
            <w:tcW w:w="2038" w:type="dxa"/>
            <w:gridSpan w:val="2"/>
            <w:tcBorders>
              <w:top w:val="single" w:color="auto" w:sz="4" w:space="0"/>
              <w:left w:val="nil"/>
              <w:bottom w:val="single" w:color="auto" w:sz="4" w:space="0"/>
              <w:right w:val="single" w:color="auto"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　19</w:t>
            </w:r>
          </w:p>
        </w:tc>
        <w:tc>
          <w:tcPr>
            <w:tcW w:w="2240" w:type="dxa"/>
            <w:gridSpan w:val="2"/>
            <w:tcBorders>
              <w:top w:val="single" w:color="auto" w:sz="4" w:space="0"/>
              <w:left w:val="nil"/>
              <w:bottom w:val="single" w:color="auto" w:sz="4" w:space="0"/>
              <w:right w:val="single" w:color="auto"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34　</w:t>
            </w:r>
          </w:p>
        </w:tc>
        <w:tc>
          <w:tcPr>
            <w:tcW w:w="2041" w:type="dxa"/>
            <w:gridSpan w:val="2"/>
            <w:tcBorders>
              <w:top w:val="single" w:color="auto" w:sz="4" w:space="0"/>
              <w:left w:val="nil"/>
              <w:bottom w:val="single" w:color="auto" w:sz="4" w:space="0"/>
              <w:right w:val="single" w:color="auto"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178.95%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经费控制情况（万元）</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b/>
                <w:sz w:val="20"/>
                <w:szCs w:val="20"/>
                <w:highlight w:val="none"/>
              </w:rPr>
            </w:pPr>
            <w:r>
              <w:rPr>
                <w:rFonts w:hint="default" w:ascii="Times New Roman" w:hAnsi="Times New Roman" w:eastAsia="仿宋_GB2312"/>
                <w:b/>
                <w:sz w:val="20"/>
                <w:szCs w:val="20"/>
                <w:highlight w:val="none"/>
              </w:rPr>
              <w:t>202</w:t>
            </w:r>
            <w:r>
              <w:rPr>
                <w:rFonts w:hint="eastAsia" w:ascii="Times New Roman" w:hAnsi="Times New Roman" w:eastAsia="仿宋_GB2312"/>
                <w:b/>
                <w:sz w:val="20"/>
                <w:szCs w:val="20"/>
                <w:highlight w:val="none"/>
              </w:rPr>
              <w:t>2年决算数</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b/>
                <w:sz w:val="20"/>
                <w:szCs w:val="20"/>
                <w:highlight w:val="none"/>
              </w:rPr>
            </w:pPr>
            <w:r>
              <w:rPr>
                <w:rFonts w:hint="default" w:ascii="Times New Roman" w:hAnsi="Times New Roman" w:eastAsia="仿宋_GB2312"/>
                <w:b/>
                <w:sz w:val="20"/>
                <w:szCs w:val="20"/>
                <w:highlight w:val="none"/>
              </w:rPr>
              <w:t>202</w:t>
            </w:r>
            <w:r>
              <w:rPr>
                <w:rFonts w:hint="eastAsia" w:ascii="Times New Roman" w:hAnsi="Times New Roman" w:eastAsia="仿宋_GB2312"/>
                <w:b/>
                <w:sz w:val="20"/>
                <w:szCs w:val="20"/>
                <w:highlight w:val="none"/>
              </w:rPr>
              <w:t>3年预算数</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b/>
                <w:sz w:val="20"/>
                <w:szCs w:val="20"/>
                <w:highlight w:val="none"/>
              </w:rPr>
            </w:pPr>
            <w:r>
              <w:rPr>
                <w:rFonts w:hint="default" w:ascii="Times New Roman" w:hAnsi="Times New Roman" w:eastAsia="仿宋_GB2312"/>
                <w:b/>
                <w:sz w:val="20"/>
                <w:szCs w:val="20"/>
                <w:highlight w:val="none"/>
              </w:rPr>
              <w:t>202</w:t>
            </w:r>
            <w:r>
              <w:rPr>
                <w:rFonts w:hint="eastAsia" w:ascii="Times New Roman" w:hAnsi="Times New Roman" w:eastAsia="仿宋_GB2312"/>
                <w:b/>
                <w:sz w:val="20"/>
                <w:szCs w:val="20"/>
                <w:highlight w:val="none"/>
              </w:rPr>
              <w:t>3年决算数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三公经费</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rPr>
            </w:pPr>
            <w:r>
              <w:rPr>
                <w:rFonts w:hint="eastAsia" w:ascii="Times New Roman" w:hAnsi="Times New Roman" w:eastAsia="仿宋_GB2312"/>
                <w:sz w:val="20"/>
                <w:szCs w:val="20"/>
                <w:highlight w:val="none"/>
              </w:rPr>
              <w:t>0.27</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40.2</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lang w:val="en-US" w:eastAsia="zh-CN"/>
              </w:rPr>
            </w:pPr>
            <w:r>
              <w:rPr>
                <w:rFonts w:hint="eastAsia" w:ascii="Times New Roman" w:hAnsi="Times New Roman" w:eastAsia="仿宋_GB2312"/>
                <w:sz w:val="20"/>
                <w:szCs w:val="20"/>
                <w:highlight w:val="none"/>
              </w:rPr>
              <w:t>34.8</w:t>
            </w:r>
            <w:r>
              <w:rPr>
                <w:rFonts w:hint="eastAsia" w:ascii="Times New Roman" w:hAnsi="Times New Roman" w:eastAsia="仿宋_GB2312"/>
                <w:sz w:val="20"/>
                <w:szCs w:val="20"/>
                <w:highlight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default" w:ascii="Times New Roman" w:hAnsi="Times New Roman" w:eastAsia="仿宋_GB2312"/>
                <w:sz w:val="20"/>
                <w:szCs w:val="20"/>
                <w:highlight w:val="none"/>
              </w:rPr>
              <w:t xml:space="preserve">   1</w:t>
            </w:r>
            <w:r>
              <w:rPr>
                <w:rFonts w:hint="eastAsia" w:ascii="Times New Roman" w:hAnsi="Times New Roman" w:eastAsia="仿宋_GB2312"/>
                <w:sz w:val="20"/>
                <w:szCs w:val="20"/>
                <w:highlight w:val="none"/>
              </w:rPr>
              <w:t>、公务用车购置和维护经费</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rPr>
            </w:pPr>
            <w:r>
              <w:rPr>
                <w:rFonts w:hint="eastAsia" w:ascii="Times New Roman" w:hAnsi="Times New Roman" w:eastAsia="仿宋_GB2312"/>
                <w:sz w:val="20"/>
                <w:szCs w:val="20"/>
                <w:highlight w:val="none"/>
              </w:rPr>
              <w:t>0</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37.2</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lang w:val="en-US" w:eastAsia="zh-CN"/>
              </w:rPr>
            </w:pPr>
            <w:r>
              <w:rPr>
                <w:rFonts w:hint="eastAsia" w:ascii="Times New Roman" w:hAnsi="Times New Roman" w:eastAsia="仿宋_GB2312"/>
                <w:sz w:val="20"/>
                <w:szCs w:val="20"/>
                <w:highlight w:val="none"/>
              </w:rPr>
              <w:t>34.7</w:t>
            </w:r>
            <w:r>
              <w:rPr>
                <w:rFonts w:hint="eastAsia" w:ascii="Times New Roman" w:hAnsi="Times New Roman" w:eastAsia="仿宋_GB2312"/>
                <w:sz w:val="20"/>
                <w:szCs w:val="20"/>
                <w:highlight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default" w:ascii="Times New Roman" w:hAnsi="Times New Roman" w:eastAsia="仿宋_GB2312"/>
                <w:sz w:val="20"/>
                <w:szCs w:val="20"/>
                <w:highlight w:val="none"/>
              </w:rPr>
              <w:t xml:space="preserve">       </w:t>
            </w:r>
            <w:r>
              <w:rPr>
                <w:rFonts w:hint="eastAsia" w:ascii="Times New Roman" w:hAnsi="Times New Roman" w:eastAsia="仿宋_GB2312"/>
                <w:sz w:val="20"/>
                <w:szCs w:val="20"/>
                <w:highlight w:val="none"/>
              </w:rPr>
              <w:t>其中：公车购置</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0</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27.2</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24.98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default" w:ascii="Times New Roman" w:hAnsi="Times New Roman" w:eastAsia="仿宋_GB2312"/>
                <w:sz w:val="20"/>
                <w:szCs w:val="20"/>
                <w:highlight w:val="none"/>
              </w:rPr>
              <w:t xml:space="preserve">             </w:t>
            </w:r>
            <w:r>
              <w:rPr>
                <w:rFonts w:hint="eastAsia" w:ascii="Times New Roman" w:hAnsi="Times New Roman" w:eastAsia="仿宋_GB2312"/>
                <w:sz w:val="20"/>
                <w:szCs w:val="20"/>
                <w:highlight w:val="none"/>
              </w:rPr>
              <w:t>公车运行维护</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rPr>
            </w:pPr>
            <w:r>
              <w:rPr>
                <w:rFonts w:hint="eastAsia" w:ascii="Times New Roman" w:hAnsi="Times New Roman" w:eastAsia="仿宋_GB2312"/>
                <w:sz w:val="20"/>
                <w:szCs w:val="20"/>
                <w:highlight w:val="none"/>
              </w:rPr>
              <w:t>0</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10</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lang w:val="en-US" w:eastAsia="zh-CN"/>
              </w:rPr>
            </w:pPr>
            <w:r>
              <w:rPr>
                <w:rFonts w:hint="eastAsia" w:ascii="Times New Roman" w:hAnsi="Times New Roman" w:eastAsia="仿宋_GB2312"/>
                <w:sz w:val="20"/>
                <w:szCs w:val="20"/>
                <w:highlight w:val="none"/>
              </w:rPr>
              <w:t>9.7</w:t>
            </w:r>
            <w:r>
              <w:rPr>
                <w:rFonts w:hint="eastAsia" w:ascii="Times New Roman" w:hAnsi="Times New Roman" w:eastAsia="仿宋_GB2312"/>
                <w:sz w:val="20"/>
                <w:szCs w:val="20"/>
                <w:highlight w:val="none"/>
                <w:lang w:val="en-US" w:eastAsia="zh-CN"/>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default" w:ascii="Times New Roman" w:hAnsi="Times New Roman" w:eastAsia="仿宋_GB2312"/>
                <w:sz w:val="20"/>
                <w:szCs w:val="20"/>
                <w:highlight w:val="none"/>
              </w:rPr>
              <w:t xml:space="preserve">   2</w:t>
            </w:r>
            <w:r>
              <w:rPr>
                <w:rFonts w:hint="eastAsia" w:ascii="Times New Roman" w:hAnsi="Times New Roman" w:eastAsia="仿宋_GB2312"/>
                <w:sz w:val="20"/>
                <w:szCs w:val="20"/>
                <w:highlight w:val="none"/>
              </w:rPr>
              <w:t>、出国经费</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rPr>
            </w:pPr>
            <w:r>
              <w:rPr>
                <w:rFonts w:hint="eastAsia" w:ascii="Times New Roman" w:hAnsi="Times New Roman" w:eastAsia="仿宋_GB2312"/>
                <w:sz w:val="20"/>
                <w:szCs w:val="20"/>
                <w:highlight w:val="none"/>
              </w:rPr>
              <w:t>0</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0</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default" w:ascii="Times New Roman" w:hAnsi="Times New Roman" w:eastAsia="仿宋_GB2312"/>
                <w:sz w:val="20"/>
                <w:szCs w:val="20"/>
                <w:highlight w:val="none"/>
              </w:rPr>
              <w:t xml:space="preserve">   3</w:t>
            </w:r>
            <w:r>
              <w:rPr>
                <w:rFonts w:hint="eastAsia" w:ascii="Times New Roman" w:hAnsi="Times New Roman" w:eastAsia="仿宋_GB2312"/>
                <w:sz w:val="20"/>
                <w:szCs w:val="20"/>
                <w:highlight w:val="none"/>
              </w:rPr>
              <w:t>、公务接待</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rPr>
            </w:pPr>
            <w:r>
              <w:rPr>
                <w:rFonts w:hint="eastAsia" w:ascii="Times New Roman" w:hAnsi="Times New Roman" w:eastAsia="仿宋_GB2312"/>
                <w:sz w:val="20"/>
                <w:szCs w:val="20"/>
                <w:highlight w:val="none"/>
              </w:rPr>
              <w:t>0.27</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rPr>
            </w:pPr>
            <w:r>
              <w:rPr>
                <w:rFonts w:hint="eastAsia" w:ascii="Times New Roman" w:hAnsi="Times New Roman" w:eastAsia="仿宋_GB2312"/>
                <w:sz w:val="20"/>
                <w:szCs w:val="20"/>
                <w:highlight w:val="none"/>
              </w:rPr>
              <w:t>3</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项目支出：</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rPr>
            </w:pPr>
            <w:r>
              <w:rPr>
                <w:rFonts w:hint="eastAsia" w:ascii="Times New Roman" w:hAnsi="Times New Roman" w:eastAsia="仿宋_GB2312"/>
                <w:sz w:val="20"/>
                <w:szCs w:val="20"/>
                <w:highlight w:val="none"/>
              </w:rPr>
              <w:t>0</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lang w:val="en-US" w:eastAsia="zh-CN"/>
              </w:rPr>
            </w:pPr>
            <w:r>
              <w:rPr>
                <w:rFonts w:hint="eastAsia" w:ascii="Times New Roman" w:hAnsi="Times New Roman" w:eastAsia="仿宋_GB2312"/>
                <w:sz w:val="20"/>
                <w:szCs w:val="20"/>
                <w:highlight w:val="none"/>
                <w:lang w:val="en-US" w:eastAsia="zh-CN"/>
              </w:rPr>
              <w:t>65.46</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lang w:val="en-US" w:eastAsia="zh-CN"/>
              </w:rPr>
            </w:pPr>
            <w:r>
              <w:rPr>
                <w:rFonts w:hint="eastAsia" w:ascii="Times New Roman" w:hAnsi="Times New Roman" w:eastAsia="仿宋_GB2312"/>
                <w:sz w:val="20"/>
                <w:szCs w:val="20"/>
                <w:highlight w:val="none"/>
                <w:lang w:val="en-US" w:eastAsia="zh-CN"/>
              </w:rPr>
              <w:t>63.02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default" w:ascii="Times New Roman" w:hAnsi="Times New Roman" w:eastAsia="仿宋_GB2312"/>
                <w:sz w:val="20"/>
                <w:szCs w:val="20"/>
                <w:highlight w:val="none"/>
              </w:rPr>
              <w:t xml:space="preserve">    1</w:t>
            </w:r>
            <w:r>
              <w:rPr>
                <w:rFonts w:hint="eastAsia" w:ascii="Times New Roman" w:hAnsi="Times New Roman" w:eastAsia="仿宋_GB2312"/>
                <w:sz w:val="20"/>
                <w:szCs w:val="20"/>
                <w:highlight w:val="none"/>
              </w:rPr>
              <w:t>、业务工作经费</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rPr>
            </w:pPr>
            <w:r>
              <w:rPr>
                <w:rFonts w:hint="eastAsia" w:ascii="Times New Roman" w:hAnsi="Times New Roman" w:eastAsia="仿宋_GB2312"/>
                <w:sz w:val="20"/>
                <w:szCs w:val="20"/>
                <w:highlight w:val="none"/>
              </w:rPr>
              <w:t>0</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28.26</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28.26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default" w:ascii="Times New Roman" w:hAnsi="Times New Roman" w:eastAsia="仿宋_GB2312"/>
                <w:sz w:val="20"/>
                <w:szCs w:val="20"/>
                <w:highlight w:val="none"/>
              </w:rPr>
              <w:t xml:space="preserve">    2</w:t>
            </w:r>
            <w:r>
              <w:rPr>
                <w:rFonts w:hint="eastAsia" w:ascii="Times New Roman" w:hAnsi="Times New Roman" w:eastAsia="仿宋_GB2312"/>
                <w:sz w:val="20"/>
                <w:szCs w:val="20"/>
                <w:highlight w:val="none"/>
              </w:rPr>
              <w:t>、运行维护经费</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rPr>
            </w:pPr>
            <w:r>
              <w:rPr>
                <w:rFonts w:hint="eastAsia" w:ascii="Times New Roman" w:hAnsi="Times New Roman" w:eastAsia="仿宋_GB2312"/>
                <w:sz w:val="20"/>
                <w:szCs w:val="20"/>
                <w:highlight w:val="none"/>
              </w:rPr>
              <w:t>0</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37.2</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34.76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 xml:space="preserve">    3、其他事业发展资金</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rPr>
            </w:pPr>
            <w:r>
              <w:rPr>
                <w:rFonts w:hint="eastAsia" w:ascii="Times New Roman" w:hAnsi="Times New Roman" w:eastAsia="仿宋_GB2312"/>
                <w:sz w:val="20"/>
                <w:szCs w:val="20"/>
                <w:highlight w:val="none"/>
              </w:rPr>
              <w:t>0</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lang w:val="en-US" w:eastAsia="zh-CN"/>
              </w:rPr>
            </w:pPr>
            <w:r>
              <w:rPr>
                <w:rFonts w:hint="eastAsia" w:ascii="Times New Roman" w:hAnsi="Times New Roman" w:eastAsia="仿宋_GB2312"/>
                <w:sz w:val="20"/>
                <w:szCs w:val="20"/>
                <w:highlight w:val="none"/>
                <w:lang w:val="en-US" w:eastAsia="zh-CN"/>
              </w:rPr>
              <w:t xml:space="preserve"> 0</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lang w:val="en-US" w:eastAsia="zh-CN"/>
              </w:rPr>
            </w:pPr>
            <w:r>
              <w:rPr>
                <w:rFonts w:hint="eastAsia" w:ascii="Times New Roman" w:hAnsi="Times New Roman" w:eastAsia="仿宋_GB2312"/>
                <w:sz w:val="20"/>
                <w:szCs w:val="20"/>
                <w:highlight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ind w:firstLine="400" w:firstLineChars="200"/>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4、省级专项资金</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21.74</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lang w:eastAsia="zh-CN"/>
              </w:rPr>
            </w:pPr>
            <w:r>
              <w:rPr>
                <w:rFonts w:hint="eastAsia" w:ascii="Times New Roman" w:hAnsi="Times New Roman" w:eastAsia="仿宋_GB2312"/>
                <w:sz w:val="20"/>
                <w:szCs w:val="20"/>
                <w:highlight w:val="none"/>
                <w:lang w:eastAsia="zh-CN"/>
              </w:rPr>
              <w:t>0</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lang w:val="en-US" w:eastAsia="zh-CN"/>
              </w:rPr>
            </w:pPr>
            <w:r>
              <w:rPr>
                <w:rFonts w:hint="eastAsia" w:ascii="Times New Roman" w:hAnsi="Times New Roman" w:eastAsia="仿宋_GB2312"/>
                <w:sz w:val="20"/>
                <w:szCs w:val="20"/>
                <w:highlight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eastAsia" w:ascii="Times New Roman" w:hAnsi="Times New Roman" w:eastAsia="仿宋_GB2312"/>
                <w:sz w:val="20"/>
                <w:szCs w:val="20"/>
                <w:highlight w:val="none"/>
              </w:rPr>
            </w:pPr>
            <w:r>
              <w:rPr>
                <w:rFonts w:hint="eastAsia" w:ascii="Times New Roman" w:hAnsi="Times New Roman" w:eastAsia="仿宋_GB2312"/>
                <w:sz w:val="20"/>
                <w:szCs w:val="20"/>
                <w:highlight w:val="none"/>
              </w:rPr>
              <w:t>市场监督管理专项</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rPr>
            </w:pPr>
            <w:r>
              <w:rPr>
                <w:rFonts w:hint="eastAsia" w:ascii="Times New Roman" w:hAnsi="Times New Roman" w:eastAsia="仿宋_GB2312"/>
                <w:sz w:val="20"/>
                <w:szCs w:val="20"/>
                <w:highlight w:val="none"/>
              </w:rPr>
              <w:t>21.74</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lang w:val="en-US" w:eastAsia="zh-CN"/>
              </w:rPr>
            </w:pPr>
            <w:r>
              <w:rPr>
                <w:rFonts w:hint="eastAsia" w:ascii="Times New Roman" w:hAnsi="Times New Roman" w:eastAsia="仿宋_GB2312"/>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lang w:val="en-US" w:eastAsia="zh-CN"/>
              </w:rPr>
            </w:pPr>
            <w:r>
              <w:rPr>
                <w:rFonts w:hint="eastAsia" w:ascii="Times New Roman" w:hAnsi="Times New Roman" w:eastAsia="仿宋_GB2312"/>
                <w:sz w:val="20"/>
                <w:szCs w:val="20"/>
                <w:highlight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公用经费</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rPr>
            </w:pPr>
            <w:r>
              <w:rPr>
                <w:rFonts w:hint="eastAsia" w:ascii="Times New Roman" w:hAnsi="Times New Roman" w:eastAsia="仿宋_GB2312"/>
                <w:sz w:val="20"/>
                <w:szCs w:val="20"/>
                <w:highlight w:val="none"/>
              </w:rPr>
              <w:t>1285.47</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1</w:t>
            </w:r>
            <w:r>
              <w:rPr>
                <w:rFonts w:hint="eastAsia" w:ascii="Times New Roman" w:hAnsi="Times New Roman" w:eastAsia="仿宋_GB2312"/>
                <w:sz w:val="20"/>
                <w:szCs w:val="20"/>
                <w:highlight w:val="none"/>
                <w:lang w:val="en-US" w:eastAsia="zh-CN"/>
              </w:rPr>
              <w:t>354</w:t>
            </w:r>
            <w:r>
              <w:rPr>
                <w:rFonts w:hint="eastAsia" w:ascii="Times New Roman" w:hAnsi="Times New Roman" w:eastAsia="仿宋_GB2312"/>
                <w:sz w:val="20"/>
                <w:szCs w:val="20"/>
                <w:highlight w:val="none"/>
              </w:rPr>
              <w:t>.92</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1</w:t>
            </w:r>
            <w:r>
              <w:rPr>
                <w:rFonts w:hint="eastAsia" w:ascii="Times New Roman" w:hAnsi="Times New Roman" w:eastAsia="仿宋_GB2312"/>
                <w:sz w:val="20"/>
                <w:szCs w:val="20"/>
                <w:highlight w:val="none"/>
                <w:lang w:val="en-US" w:eastAsia="zh-CN"/>
              </w:rPr>
              <w:t>303</w:t>
            </w:r>
            <w:r>
              <w:rPr>
                <w:rFonts w:hint="eastAsia" w:ascii="Times New Roman" w:hAnsi="Times New Roman" w:eastAsia="仿宋_GB2312"/>
                <w:sz w:val="20"/>
                <w:szCs w:val="20"/>
                <w:highlight w:val="none"/>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default" w:ascii="Times New Roman" w:hAnsi="Times New Roman" w:eastAsia="仿宋_GB2312"/>
                <w:sz w:val="20"/>
                <w:szCs w:val="20"/>
                <w:highlight w:val="none"/>
              </w:rPr>
              <w:t xml:space="preserve">    </w:t>
            </w:r>
            <w:r>
              <w:rPr>
                <w:rFonts w:hint="eastAsia" w:ascii="Times New Roman" w:hAnsi="Times New Roman" w:eastAsia="仿宋_GB2312"/>
                <w:sz w:val="20"/>
                <w:szCs w:val="20"/>
                <w:highlight w:val="none"/>
              </w:rPr>
              <w:t>其中：办公经费</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10</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5</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6.36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default" w:ascii="Times New Roman" w:hAnsi="Times New Roman" w:eastAsia="仿宋_GB2312"/>
                <w:sz w:val="20"/>
                <w:szCs w:val="20"/>
                <w:highlight w:val="none"/>
              </w:rPr>
              <w:t xml:space="preserve">          </w:t>
            </w:r>
            <w:r>
              <w:rPr>
                <w:rFonts w:hint="eastAsia" w:ascii="Times New Roman" w:hAnsi="Times New Roman" w:eastAsia="仿宋_GB2312"/>
                <w:sz w:val="20"/>
                <w:szCs w:val="20"/>
                <w:highlight w:val="none"/>
              </w:rPr>
              <w:t>水费、电费、差旅费</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1.12</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4</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6.77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default" w:ascii="Times New Roman" w:hAnsi="Times New Roman" w:eastAsia="仿宋_GB2312"/>
                <w:sz w:val="20"/>
                <w:szCs w:val="20"/>
                <w:highlight w:val="none"/>
              </w:rPr>
              <w:t xml:space="preserve">          </w:t>
            </w:r>
            <w:r>
              <w:rPr>
                <w:rFonts w:hint="eastAsia" w:ascii="Times New Roman" w:hAnsi="Times New Roman" w:eastAsia="仿宋_GB2312"/>
                <w:sz w:val="20"/>
                <w:szCs w:val="20"/>
                <w:highlight w:val="none"/>
              </w:rPr>
              <w:t>会议费、培训费</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5</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11</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4.12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政府采购金额</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color w:val="000000"/>
                <w:sz w:val="20"/>
                <w:szCs w:val="20"/>
                <w:highlight w:val="none"/>
              </w:rPr>
            </w:pPr>
            <w:r>
              <w:rPr>
                <w:rFonts w:hint="default" w:ascii="Times New Roman" w:hAnsi="Times New Roman" w:eastAsia="仿宋_GB2312"/>
                <w:color w:val="000000"/>
                <w:sz w:val="20"/>
                <w:szCs w:val="20"/>
                <w:highlight w:val="none"/>
              </w:rPr>
              <w:t>——</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　0</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　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 xml:space="preserve">部门基本支出预算调整 </w:t>
            </w:r>
          </w:p>
        </w:tc>
        <w:tc>
          <w:tcPr>
            <w:tcW w:w="2038"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default" w:ascii="Times New Roman" w:hAnsi="Times New Roman" w:eastAsia="仿宋_GB2312"/>
                <w:sz w:val="20"/>
                <w:szCs w:val="20"/>
                <w:highlight w:val="none"/>
              </w:rPr>
              <w:t>——</w:t>
            </w:r>
          </w:p>
        </w:tc>
        <w:tc>
          <w:tcPr>
            <w:tcW w:w="2240"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rPr>
            </w:pPr>
            <w:r>
              <w:rPr>
                <w:rFonts w:hint="eastAsia" w:ascii="Times New Roman" w:hAnsi="Times New Roman" w:eastAsia="仿宋_GB2312"/>
                <w:sz w:val="20"/>
                <w:szCs w:val="20"/>
                <w:highlight w:val="none"/>
              </w:rPr>
              <w:t>　0</w:t>
            </w:r>
          </w:p>
        </w:tc>
        <w:tc>
          <w:tcPr>
            <w:tcW w:w="2041" w:type="dxa"/>
            <w:gridSpan w:val="2"/>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rPr>
            </w:pPr>
            <w:r>
              <w:rPr>
                <w:rFonts w:hint="eastAsia" w:ascii="Times New Roman" w:hAnsi="Times New Roman" w:eastAsia="仿宋_GB2312"/>
                <w:sz w:val="20"/>
                <w:szCs w:val="20"/>
                <w:highlight w:val="none"/>
              </w:rPr>
              <w:t>　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rPr>
            </w:pPr>
            <w:r>
              <w:rPr>
                <w:rFonts w:hint="eastAsia" w:ascii="Times New Roman" w:hAnsi="Times New Roman" w:eastAsia="仿宋_GB2312"/>
                <w:sz w:val="20"/>
                <w:szCs w:val="20"/>
                <w:highlight w:val="none"/>
              </w:rPr>
              <w:t>楼堂馆所控制情况</w:t>
            </w:r>
          </w:p>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（2022年完工项目）</w:t>
            </w:r>
          </w:p>
        </w:tc>
        <w:tc>
          <w:tcPr>
            <w:tcW w:w="1189" w:type="dxa"/>
            <w:tcBorders>
              <w:top w:val="nil"/>
              <w:left w:val="nil"/>
              <w:bottom w:val="single" w:color="auto" w:sz="4" w:space="0"/>
              <w:right w:val="single" w:color="auto" w:sz="4" w:space="0"/>
              <w:tl2br w:val="nil"/>
              <w:tr2bl w:val="nil"/>
            </w:tcBorders>
            <w:vAlign w:val="center"/>
          </w:tcPr>
          <w:p>
            <w:pPr>
              <w:spacing w:beforeLines="0" w:afterLines="0" w:line="360" w:lineRule="exact"/>
              <w:jc w:val="center"/>
              <w:rPr>
                <w:rFonts w:hint="eastAsia" w:ascii="Times New Roman" w:hAnsi="Times New Roman" w:eastAsia="仿宋_GB2312"/>
                <w:sz w:val="20"/>
                <w:szCs w:val="20"/>
                <w:highlight w:val="none"/>
              </w:rPr>
            </w:pPr>
            <w:r>
              <w:rPr>
                <w:rFonts w:hint="eastAsia" w:ascii="Times New Roman" w:hAnsi="Times New Roman" w:eastAsia="仿宋_GB2312"/>
                <w:sz w:val="20"/>
                <w:szCs w:val="20"/>
                <w:highlight w:val="none"/>
              </w:rPr>
              <w:t>批复规模</w:t>
            </w:r>
          </w:p>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w:t>
            </w:r>
            <w:r>
              <w:rPr>
                <w:rFonts w:hint="eastAsia" w:ascii="Times New Roman" w:hAnsi="Times New Roman"/>
                <w:sz w:val="20"/>
                <w:szCs w:val="20"/>
                <w:highlight w:val="none"/>
              </w:rPr>
              <w:t>㎡</w:t>
            </w:r>
            <w:r>
              <w:rPr>
                <w:rFonts w:hint="eastAsia" w:ascii="Times New Roman" w:hAnsi="Times New Roman" w:eastAsia="仿宋_GB2312"/>
                <w:sz w:val="20"/>
                <w:szCs w:val="20"/>
                <w:highlight w:val="none"/>
              </w:rPr>
              <w:t>）</w:t>
            </w:r>
          </w:p>
        </w:tc>
        <w:tc>
          <w:tcPr>
            <w:tcW w:w="849" w:type="dxa"/>
            <w:tcBorders>
              <w:top w:val="nil"/>
              <w:left w:val="nil"/>
              <w:bottom w:val="single" w:color="auto" w:sz="4" w:space="0"/>
              <w:right w:val="single" w:color="auto"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实际规模（</w:t>
            </w:r>
            <w:r>
              <w:rPr>
                <w:rFonts w:hint="eastAsia" w:ascii="Times New Roman" w:hAnsi="Times New Roman"/>
                <w:sz w:val="20"/>
                <w:szCs w:val="20"/>
                <w:highlight w:val="none"/>
              </w:rPr>
              <w:t>㎡</w:t>
            </w:r>
            <w:r>
              <w:rPr>
                <w:rFonts w:hint="eastAsia" w:ascii="Times New Roman" w:hAnsi="Times New Roman" w:eastAsia="仿宋_GB2312"/>
                <w:sz w:val="20"/>
                <w:szCs w:val="20"/>
                <w:highlight w:val="none"/>
              </w:rPr>
              <w:t>）</w:t>
            </w:r>
          </w:p>
        </w:tc>
        <w:tc>
          <w:tcPr>
            <w:tcW w:w="1129" w:type="dxa"/>
            <w:tcBorders>
              <w:top w:val="nil"/>
              <w:left w:val="nil"/>
              <w:bottom w:val="single" w:color="auto" w:sz="4" w:space="0"/>
              <w:right w:val="single" w:color="auto"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规模控制率</w:t>
            </w:r>
          </w:p>
        </w:tc>
        <w:tc>
          <w:tcPr>
            <w:tcW w:w="1111" w:type="dxa"/>
            <w:tcBorders>
              <w:top w:val="nil"/>
              <w:left w:val="nil"/>
              <w:bottom w:val="single" w:color="auto" w:sz="4" w:space="0"/>
              <w:right w:val="single" w:color="auto"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预算投资（万元）</w:t>
            </w:r>
          </w:p>
        </w:tc>
        <w:tc>
          <w:tcPr>
            <w:tcW w:w="1081" w:type="dxa"/>
            <w:tcBorders>
              <w:top w:val="nil"/>
              <w:left w:val="nil"/>
              <w:bottom w:val="single" w:color="auto" w:sz="4" w:space="0"/>
              <w:right w:val="single" w:color="auto"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实际投资（万元）</w:t>
            </w:r>
          </w:p>
        </w:tc>
        <w:tc>
          <w:tcPr>
            <w:tcW w:w="960" w:type="dxa"/>
            <w:tcBorders>
              <w:top w:val="nil"/>
              <w:left w:val="nil"/>
              <w:bottom w:val="single" w:color="auto" w:sz="4" w:space="0"/>
              <w:right w:val="single" w:color="auto"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投资概算控制率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p>
        </w:tc>
        <w:tc>
          <w:tcPr>
            <w:tcW w:w="1189" w:type="dxa"/>
            <w:tcBorders>
              <w:top w:val="nil"/>
              <w:left w:val="nil"/>
              <w:bottom w:val="single" w:color="auto" w:sz="4" w:space="0"/>
              <w:right w:val="single" w:color="auto"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　</w:t>
            </w:r>
          </w:p>
        </w:tc>
        <w:tc>
          <w:tcPr>
            <w:tcW w:w="849" w:type="dxa"/>
            <w:tcBorders>
              <w:top w:val="nil"/>
              <w:left w:val="nil"/>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　</w:t>
            </w:r>
          </w:p>
        </w:tc>
        <w:tc>
          <w:tcPr>
            <w:tcW w:w="1129" w:type="dxa"/>
            <w:tcBorders>
              <w:top w:val="nil"/>
              <w:left w:val="nil"/>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　</w:t>
            </w:r>
          </w:p>
        </w:tc>
        <w:tc>
          <w:tcPr>
            <w:tcW w:w="1111" w:type="dxa"/>
            <w:tcBorders>
              <w:top w:val="nil"/>
              <w:left w:val="nil"/>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　</w:t>
            </w:r>
          </w:p>
        </w:tc>
        <w:tc>
          <w:tcPr>
            <w:tcW w:w="1081" w:type="dxa"/>
            <w:tcBorders>
              <w:top w:val="nil"/>
              <w:left w:val="nil"/>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　</w:t>
            </w:r>
          </w:p>
        </w:tc>
        <w:tc>
          <w:tcPr>
            <w:tcW w:w="960" w:type="dxa"/>
            <w:tcBorders>
              <w:top w:val="nil"/>
              <w:left w:val="nil"/>
              <w:bottom w:val="single" w:color="auto" w:sz="4" w:space="0"/>
              <w:right w:val="single" w:color="auto" w:sz="4" w:space="0"/>
              <w:tl2br w:val="nil"/>
              <w:tr2bl w:val="nil"/>
            </w:tcBorders>
            <w:vAlign w:val="center"/>
          </w:tcPr>
          <w:p>
            <w:pPr>
              <w:spacing w:beforeLines="0" w:afterLines="0" w:line="360" w:lineRule="exact"/>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厉行节约保障措施</w:t>
            </w:r>
          </w:p>
        </w:tc>
        <w:tc>
          <w:tcPr>
            <w:tcW w:w="6319" w:type="dxa"/>
            <w:gridSpan w:val="6"/>
            <w:tcBorders>
              <w:top w:val="single" w:color="auto" w:sz="4" w:space="0"/>
              <w:left w:val="nil"/>
              <w:bottom w:val="single" w:color="auto" w:sz="4" w:space="0"/>
              <w:right w:val="single" w:color="000000" w:sz="4" w:space="0"/>
              <w:tl2br w:val="nil"/>
              <w:tr2bl w:val="nil"/>
            </w:tcBorders>
            <w:vAlign w:val="center"/>
          </w:tcPr>
          <w:p>
            <w:pPr>
              <w:spacing w:beforeLines="0" w:afterLines="0" w:line="360" w:lineRule="exact"/>
              <w:jc w:val="center"/>
              <w:rPr>
                <w:rFonts w:hint="default" w:ascii="Times New Roman" w:hAnsi="Times New Roman" w:eastAsia="仿宋_GB2312"/>
                <w:sz w:val="20"/>
                <w:szCs w:val="20"/>
                <w:highlight w:val="none"/>
              </w:rPr>
            </w:pPr>
            <w:r>
              <w:rPr>
                <w:rFonts w:hint="eastAsia" w:ascii="Times New Roman" w:hAnsi="Times New Roman" w:eastAsia="仿宋_GB2312"/>
                <w:sz w:val="20"/>
                <w:szCs w:val="20"/>
                <w:highlight w:val="none"/>
              </w:rPr>
              <w:t>　</w:t>
            </w:r>
          </w:p>
        </w:tc>
      </w:tr>
    </w:tbl>
    <w:p>
      <w:pPr>
        <w:spacing w:beforeLines="0" w:afterLines="0" w:line="400" w:lineRule="exact"/>
        <w:rPr>
          <w:rFonts w:hint="default" w:ascii="Times New Roman" w:hAnsi="Times New Roman" w:eastAsia="仿宋_GB2312"/>
          <w:sz w:val="22"/>
          <w:szCs w:val="24"/>
          <w:highlight w:val="none"/>
        </w:rPr>
      </w:pPr>
      <w:r>
        <w:rPr>
          <w:rFonts w:hint="eastAsia" w:ascii="Times New Roman" w:hAnsi="Times New Roman" w:eastAsia="仿宋_GB2312"/>
          <w:sz w:val="22"/>
          <w:szCs w:val="24"/>
          <w:highlight w:val="none"/>
        </w:rPr>
        <w:t>说明：“项目支出”需要填报基本支出以外的所有项目支出情况，“公用经费”填报基本支出中的一般商品和服务支出。</w:t>
      </w:r>
    </w:p>
    <w:p>
      <w:pPr>
        <w:spacing w:beforeLines="0" w:afterLines="0" w:line="400" w:lineRule="exact"/>
        <w:rPr>
          <w:rFonts w:hint="default" w:ascii="Times New Roman" w:hAnsi="Times New Roman" w:eastAsia="仿宋_GB2312"/>
          <w:sz w:val="22"/>
          <w:szCs w:val="24"/>
          <w:highlight w:val="none"/>
        </w:rPr>
      </w:pPr>
    </w:p>
    <w:p>
      <w:pPr>
        <w:pStyle w:val="2"/>
        <w:spacing w:beforeLines="0" w:afterLines="0"/>
        <w:rPr>
          <w:rFonts w:hint="eastAsia" w:ascii="宋体" w:hAnsi="宋体" w:cs="宋体"/>
          <w:sz w:val="22"/>
          <w:szCs w:val="20"/>
          <w:highlight w:val="none"/>
        </w:rPr>
      </w:pPr>
      <w:r>
        <w:rPr>
          <w:rFonts w:hint="eastAsia" w:ascii="宋体" w:hAnsi="宋体" w:cs="宋体"/>
          <w:sz w:val="22"/>
          <w:szCs w:val="20"/>
          <w:highlight w:val="none"/>
        </w:rPr>
        <w:t>填表人：庞桠文   填报日期：2024/3/28   联系电话：13574880456   单位负责人签字：</w:t>
      </w:r>
    </w:p>
    <w:p>
      <w:pPr>
        <w:widowControl/>
        <w:spacing w:beforeLines="0" w:afterLines="0" w:line="600" w:lineRule="exact"/>
        <w:jc w:val="left"/>
        <w:outlineLvl w:val="0"/>
        <w:rPr>
          <w:rFonts w:hint="eastAsia" w:ascii="黑体" w:hAnsi="黑体" w:eastAsia="黑体" w:cs="黑体"/>
          <w:sz w:val="32"/>
          <w:szCs w:val="32"/>
          <w:highlight w:val="none"/>
        </w:rPr>
      </w:pPr>
    </w:p>
    <w:p>
      <w:pPr>
        <w:widowControl/>
        <w:spacing w:beforeLines="0" w:afterLines="0" w:line="600" w:lineRule="exact"/>
        <w:jc w:val="left"/>
        <w:outlineLvl w:val="0"/>
        <w:rPr>
          <w:rFonts w:hint="eastAsia" w:ascii="黑体" w:hAnsi="黑体" w:eastAsia="黑体" w:cs="黑体"/>
          <w:sz w:val="32"/>
          <w:szCs w:val="32"/>
          <w:highlight w:val="none"/>
        </w:rPr>
      </w:pPr>
      <w:r>
        <w:rPr>
          <w:rFonts w:hint="eastAsia" w:ascii="黑体" w:hAnsi="黑体" w:eastAsia="黑体" w:cs="黑体"/>
          <w:sz w:val="32"/>
          <w:szCs w:val="32"/>
          <w:highlight w:val="none"/>
        </w:rPr>
        <w:t>附件3</w:t>
      </w:r>
    </w:p>
    <w:p>
      <w:pPr>
        <w:widowControl/>
        <w:spacing w:before="156" w:beforeLines="50" w:after="156" w:afterLines="50" w:line="600" w:lineRule="exact"/>
        <w:jc w:val="center"/>
        <w:rPr>
          <w:rFonts w:hint="eastAsia" w:ascii="方正小标宋_GBK" w:hAnsi="微软雅黑" w:eastAsia="方正小标宋_GBK" w:cs="微软雅黑"/>
          <w:color w:val="000000"/>
          <w:kern w:val="0"/>
          <w:sz w:val="44"/>
          <w:szCs w:val="44"/>
          <w:highlight w:val="none"/>
        </w:rPr>
      </w:pPr>
      <w:r>
        <w:rPr>
          <w:rFonts w:hint="eastAsia" w:ascii="方正小标宋_GBK" w:hAnsi="微软雅黑" w:eastAsia="方正小标宋_GBK" w:cs="微软雅黑"/>
          <w:color w:val="000000"/>
          <w:kern w:val="0"/>
          <w:sz w:val="44"/>
          <w:szCs w:val="44"/>
          <w:highlight w:val="none"/>
        </w:rPr>
        <w:t>2023年度单位整体支出绩效自评表</w:t>
      </w:r>
    </w:p>
    <w:tbl>
      <w:tblPr>
        <w:tblStyle w:val="9"/>
        <w:tblW w:w="991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1001"/>
        <w:gridCol w:w="781"/>
        <w:gridCol w:w="700"/>
        <w:gridCol w:w="1596"/>
        <w:gridCol w:w="351"/>
        <w:gridCol w:w="991"/>
        <w:gridCol w:w="1196"/>
        <w:gridCol w:w="761"/>
        <w:gridCol w:w="845"/>
        <w:gridCol w:w="16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001" w:type="dxa"/>
            <w:tcBorders>
              <w:top w:val="single" w:color="auto" w:sz="8" w:space="0"/>
              <w:left w:val="single" w:color="auto" w:sz="8"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预算单位</w:t>
            </w:r>
          </w:p>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名称</w:t>
            </w:r>
          </w:p>
        </w:tc>
        <w:tc>
          <w:tcPr>
            <w:tcW w:w="8913" w:type="dxa"/>
            <w:gridSpan w:val="9"/>
            <w:tcBorders>
              <w:top w:val="single" w:color="auto" w:sz="8"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湖南省市场监管事务中心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001" w:type="dxa"/>
            <w:vMerge w:val="restart"/>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年度预</w:t>
            </w:r>
          </w:p>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算申请</w:t>
            </w:r>
          </w:p>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（万元）</w:t>
            </w:r>
          </w:p>
        </w:tc>
        <w:tc>
          <w:tcPr>
            <w:tcW w:w="1481"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仿宋" w:hAnsi="仿宋" w:eastAsia="仿宋" w:cs="仿宋"/>
                <w:sz w:val="20"/>
                <w:szCs w:val="20"/>
                <w:highlight w:val="none"/>
              </w:rPr>
            </w:pPr>
          </w:p>
        </w:tc>
        <w:tc>
          <w:tcPr>
            <w:tcW w:w="159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年初</w:t>
            </w:r>
          </w:p>
          <w:p>
            <w:pPr>
              <w:spacing w:beforeLines="0" w:afterLines="0" w:line="240" w:lineRule="exact"/>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预算数</w:t>
            </w:r>
          </w:p>
        </w:tc>
        <w:tc>
          <w:tcPr>
            <w:tcW w:w="1342"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全年预算数</w:t>
            </w:r>
          </w:p>
        </w:tc>
        <w:tc>
          <w:tcPr>
            <w:tcW w:w="119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全年执行数</w:t>
            </w:r>
          </w:p>
        </w:tc>
        <w:tc>
          <w:tcPr>
            <w:tcW w:w="76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分值</w:t>
            </w:r>
          </w:p>
        </w:tc>
        <w:tc>
          <w:tcPr>
            <w:tcW w:w="845"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执行率</w:t>
            </w:r>
          </w:p>
        </w:tc>
        <w:tc>
          <w:tcPr>
            <w:tcW w:w="1692"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得分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001"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p>
        </w:tc>
        <w:tc>
          <w:tcPr>
            <w:tcW w:w="1481"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仿宋" w:hAnsi="仿宋" w:eastAsia="仿宋" w:cs="仿宋"/>
                <w:sz w:val="20"/>
                <w:szCs w:val="20"/>
                <w:highlight w:val="none"/>
              </w:rPr>
            </w:pPr>
            <w:r>
              <w:rPr>
                <w:rFonts w:hint="eastAsia" w:ascii="仿宋" w:hAnsi="仿宋" w:eastAsia="仿宋" w:cs="仿宋"/>
                <w:color w:val="000000"/>
                <w:kern w:val="0"/>
                <w:sz w:val="20"/>
                <w:szCs w:val="20"/>
                <w:highlight w:val="none"/>
              </w:rPr>
              <w:t>年度资金总额</w:t>
            </w:r>
          </w:p>
        </w:tc>
        <w:tc>
          <w:tcPr>
            <w:tcW w:w="159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2287.56</w:t>
            </w:r>
          </w:p>
        </w:tc>
        <w:tc>
          <w:tcPr>
            <w:tcW w:w="1342"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2530.52</w:t>
            </w:r>
          </w:p>
        </w:tc>
        <w:tc>
          <w:tcPr>
            <w:tcW w:w="119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2353.45</w:t>
            </w:r>
          </w:p>
        </w:tc>
        <w:tc>
          <w:tcPr>
            <w:tcW w:w="76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10</w:t>
            </w:r>
          </w:p>
        </w:tc>
        <w:tc>
          <w:tcPr>
            <w:tcW w:w="845"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93%</w:t>
            </w:r>
          </w:p>
        </w:tc>
        <w:tc>
          <w:tcPr>
            <w:tcW w:w="1692"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001"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p>
        </w:tc>
        <w:tc>
          <w:tcPr>
            <w:tcW w:w="4419" w:type="dxa"/>
            <w:gridSpan w:val="5"/>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按收入性质分：</w:t>
            </w:r>
          </w:p>
        </w:tc>
        <w:tc>
          <w:tcPr>
            <w:tcW w:w="4494" w:type="dxa"/>
            <w:gridSpan w:val="4"/>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按支出性质分：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001"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p>
        </w:tc>
        <w:tc>
          <w:tcPr>
            <w:tcW w:w="4419" w:type="dxa"/>
            <w:gridSpan w:val="5"/>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 xml:space="preserve">  其中：  一般公共预算：2530.52</w:t>
            </w:r>
          </w:p>
        </w:tc>
        <w:tc>
          <w:tcPr>
            <w:tcW w:w="4494" w:type="dxa"/>
            <w:gridSpan w:val="4"/>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left"/>
              <w:rPr>
                <w:rFonts w:hint="default" w:ascii="仿宋" w:hAnsi="仿宋" w:eastAsia="仿宋" w:cs="仿宋"/>
                <w:color w:val="000000"/>
                <w:kern w:val="0"/>
                <w:sz w:val="20"/>
                <w:szCs w:val="20"/>
                <w:highlight w:val="none"/>
                <w:lang w:val="en-US" w:eastAsia="zh-CN"/>
              </w:rPr>
            </w:pPr>
            <w:r>
              <w:rPr>
                <w:rFonts w:hint="eastAsia" w:ascii="仿宋" w:hAnsi="仿宋" w:eastAsia="仿宋" w:cs="仿宋"/>
                <w:color w:val="000000"/>
                <w:kern w:val="0"/>
                <w:sz w:val="20"/>
                <w:szCs w:val="20"/>
                <w:highlight w:val="none"/>
              </w:rPr>
              <w:t>其中：基本支出：22</w:t>
            </w:r>
            <w:r>
              <w:rPr>
                <w:rFonts w:hint="eastAsia" w:ascii="仿宋" w:hAnsi="仿宋" w:eastAsia="仿宋" w:cs="仿宋"/>
                <w:color w:val="000000"/>
                <w:kern w:val="0"/>
                <w:sz w:val="20"/>
                <w:szCs w:val="20"/>
                <w:highlight w:val="none"/>
                <w:lang w:val="en-US" w:eastAsia="zh-CN"/>
              </w:rPr>
              <w:t>90</w:t>
            </w:r>
            <w:r>
              <w:rPr>
                <w:rFonts w:hint="eastAsia" w:ascii="仿宋" w:hAnsi="仿宋" w:eastAsia="仿宋" w:cs="仿宋"/>
                <w:color w:val="000000"/>
                <w:kern w:val="0"/>
                <w:sz w:val="20"/>
                <w:szCs w:val="20"/>
                <w:highlight w:val="none"/>
              </w:rPr>
              <w:t>.</w:t>
            </w:r>
            <w:r>
              <w:rPr>
                <w:rFonts w:hint="eastAsia" w:ascii="仿宋" w:hAnsi="仿宋" w:eastAsia="仿宋" w:cs="仿宋"/>
                <w:color w:val="000000"/>
                <w:kern w:val="0"/>
                <w:sz w:val="20"/>
                <w:szCs w:val="20"/>
                <w:highlight w:val="none"/>
                <w:lang w:val="en-US" w:eastAsia="zh-CN"/>
              </w:rPr>
              <w:t>43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001"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p>
        </w:tc>
        <w:tc>
          <w:tcPr>
            <w:tcW w:w="4419" w:type="dxa"/>
            <w:gridSpan w:val="5"/>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政府性基金拨款：0</w:t>
            </w:r>
          </w:p>
        </w:tc>
        <w:tc>
          <w:tcPr>
            <w:tcW w:w="4494" w:type="dxa"/>
            <w:gridSpan w:val="4"/>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ind w:firstLine="600" w:firstLineChars="300"/>
              <w:jc w:val="left"/>
              <w:rPr>
                <w:rFonts w:hint="default" w:ascii="仿宋" w:hAnsi="仿宋" w:eastAsia="仿宋" w:cs="仿宋"/>
                <w:color w:val="000000"/>
                <w:kern w:val="0"/>
                <w:sz w:val="20"/>
                <w:szCs w:val="20"/>
                <w:highlight w:val="none"/>
                <w:lang w:val="en-US" w:eastAsia="zh-CN"/>
              </w:rPr>
            </w:pPr>
            <w:r>
              <w:rPr>
                <w:rFonts w:hint="eastAsia" w:ascii="仿宋" w:hAnsi="仿宋" w:eastAsia="仿宋" w:cs="仿宋"/>
                <w:color w:val="000000"/>
                <w:kern w:val="0"/>
                <w:sz w:val="20"/>
                <w:szCs w:val="20"/>
                <w:highlight w:val="none"/>
              </w:rPr>
              <w:t>项目支出：</w:t>
            </w:r>
            <w:r>
              <w:rPr>
                <w:rFonts w:hint="eastAsia" w:ascii="仿宋" w:hAnsi="仿宋" w:eastAsia="仿宋" w:cs="仿宋"/>
                <w:color w:val="000000"/>
                <w:kern w:val="0"/>
                <w:sz w:val="20"/>
                <w:szCs w:val="20"/>
                <w:highlight w:val="none"/>
                <w:lang w:val="en-US" w:eastAsia="zh-CN"/>
              </w:rPr>
              <w:t>63</w:t>
            </w:r>
            <w:r>
              <w:rPr>
                <w:rFonts w:hint="eastAsia" w:ascii="仿宋" w:hAnsi="仿宋" w:eastAsia="仿宋" w:cs="仿宋"/>
                <w:color w:val="000000"/>
                <w:kern w:val="0"/>
                <w:sz w:val="20"/>
                <w:szCs w:val="20"/>
                <w:highlight w:val="none"/>
              </w:rPr>
              <w:t>.</w:t>
            </w:r>
            <w:r>
              <w:rPr>
                <w:rFonts w:hint="eastAsia" w:ascii="仿宋" w:hAnsi="仿宋" w:eastAsia="仿宋" w:cs="仿宋"/>
                <w:color w:val="000000"/>
                <w:kern w:val="0"/>
                <w:sz w:val="20"/>
                <w:szCs w:val="20"/>
                <w:highlight w:val="none"/>
                <w:lang w:val="en-US" w:eastAsia="zh-CN"/>
              </w:rPr>
              <w:t>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001"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p>
        </w:tc>
        <w:tc>
          <w:tcPr>
            <w:tcW w:w="4419" w:type="dxa"/>
            <w:gridSpan w:val="5"/>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纳入专户管理的非税收入拨款：0</w:t>
            </w:r>
          </w:p>
        </w:tc>
        <w:tc>
          <w:tcPr>
            <w:tcW w:w="4494" w:type="dxa"/>
            <w:gridSpan w:val="4"/>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001"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p>
        </w:tc>
        <w:tc>
          <w:tcPr>
            <w:tcW w:w="4419" w:type="dxa"/>
            <w:gridSpan w:val="5"/>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其他资金：0</w:t>
            </w:r>
          </w:p>
        </w:tc>
        <w:tc>
          <w:tcPr>
            <w:tcW w:w="4494" w:type="dxa"/>
            <w:gridSpan w:val="4"/>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001" w:type="dxa"/>
            <w:vMerge w:val="restart"/>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年度总体</w:t>
            </w:r>
          </w:p>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目标</w:t>
            </w:r>
          </w:p>
        </w:tc>
        <w:tc>
          <w:tcPr>
            <w:tcW w:w="4419" w:type="dxa"/>
            <w:gridSpan w:val="5"/>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预期目标</w:t>
            </w:r>
          </w:p>
        </w:tc>
        <w:tc>
          <w:tcPr>
            <w:tcW w:w="4494" w:type="dxa"/>
            <w:gridSpan w:val="4"/>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实际完成情况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001"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p>
        </w:tc>
        <w:tc>
          <w:tcPr>
            <w:tcW w:w="4419" w:type="dxa"/>
            <w:gridSpan w:val="5"/>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2530.52</w:t>
            </w:r>
          </w:p>
        </w:tc>
        <w:tc>
          <w:tcPr>
            <w:tcW w:w="4494" w:type="dxa"/>
            <w:gridSpan w:val="4"/>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2353.45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96" w:hRule="atLeast"/>
          <w:jc w:val="center"/>
        </w:trPr>
        <w:tc>
          <w:tcPr>
            <w:tcW w:w="1001" w:type="dxa"/>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年度总体</w:t>
            </w:r>
          </w:p>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目标</w:t>
            </w:r>
          </w:p>
        </w:tc>
        <w:tc>
          <w:tcPr>
            <w:tcW w:w="78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一级指标</w:t>
            </w:r>
          </w:p>
        </w:tc>
        <w:tc>
          <w:tcPr>
            <w:tcW w:w="70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二级</w:t>
            </w:r>
          </w:p>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指标</w:t>
            </w:r>
          </w:p>
        </w:tc>
        <w:tc>
          <w:tcPr>
            <w:tcW w:w="1947" w:type="dxa"/>
            <w:gridSpan w:val="2"/>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三级指标</w:t>
            </w:r>
          </w:p>
        </w:tc>
        <w:tc>
          <w:tcPr>
            <w:tcW w:w="99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年度</w:t>
            </w:r>
          </w:p>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指标值</w:t>
            </w:r>
          </w:p>
        </w:tc>
        <w:tc>
          <w:tcPr>
            <w:tcW w:w="1196"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实际完成值</w:t>
            </w:r>
          </w:p>
        </w:tc>
        <w:tc>
          <w:tcPr>
            <w:tcW w:w="76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分值</w:t>
            </w:r>
          </w:p>
        </w:tc>
        <w:tc>
          <w:tcPr>
            <w:tcW w:w="845"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得分</w:t>
            </w:r>
          </w:p>
        </w:tc>
        <w:tc>
          <w:tcPr>
            <w:tcW w:w="1692"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18"/>
                <w:szCs w:val="18"/>
                <w:highlight w:val="none"/>
              </w:rPr>
            </w:pPr>
            <w:r>
              <w:rPr>
                <w:rFonts w:hint="eastAsia" w:ascii="仿宋" w:hAnsi="仿宋" w:eastAsia="仿宋" w:cs="仿宋"/>
                <w:color w:val="000000"/>
                <w:kern w:val="0"/>
                <w:sz w:val="18"/>
                <w:szCs w:val="18"/>
                <w:highlight w:val="none"/>
              </w:rPr>
              <w:t>偏差原因</w:t>
            </w:r>
          </w:p>
          <w:p>
            <w:pPr>
              <w:widowControl/>
              <w:spacing w:beforeLines="0" w:afterLines="0" w:line="240" w:lineRule="exact"/>
              <w:jc w:val="center"/>
              <w:rPr>
                <w:rFonts w:hint="eastAsia" w:ascii="仿宋" w:hAnsi="仿宋" w:eastAsia="仿宋" w:cs="仿宋"/>
                <w:color w:val="000000"/>
                <w:kern w:val="0"/>
                <w:sz w:val="18"/>
                <w:szCs w:val="18"/>
                <w:highlight w:val="none"/>
              </w:rPr>
            </w:pPr>
            <w:r>
              <w:rPr>
                <w:rFonts w:hint="eastAsia" w:ascii="仿宋" w:hAnsi="仿宋" w:eastAsia="仿宋" w:cs="仿宋"/>
                <w:color w:val="000000"/>
                <w:kern w:val="0"/>
                <w:sz w:val="18"/>
                <w:szCs w:val="18"/>
                <w:highlight w:val="none"/>
              </w:rPr>
              <w:t>分析及</w:t>
            </w:r>
          </w:p>
          <w:p>
            <w:pPr>
              <w:widowControl/>
              <w:spacing w:beforeLines="0" w:afterLines="0" w:line="240" w:lineRule="exact"/>
              <w:jc w:val="center"/>
              <w:rPr>
                <w:rFonts w:hint="eastAsia" w:ascii="仿宋" w:hAnsi="仿宋" w:eastAsia="仿宋" w:cs="仿宋"/>
                <w:color w:val="000000"/>
                <w:kern w:val="0"/>
                <w:sz w:val="18"/>
                <w:szCs w:val="18"/>
                <w:highlight w:val="none"/>
              </w:rPr>
            </w:pPr>
            <w:r>
              <w:rPr>
                <w:rFonts w:hint="eastAsia" w:ascii="仿宋" w:hAnsi="仿宋" w:eastAsia="仿宋" w:cs="仿宋"/>
                <w:color w:val="000000"/>
                <w:kern w:val="0"/>
                <w:sz w:val="18"/>
                <w:szCs w:val="18"/>
                <w:highlight w:val="none"/>
              </w:rPr>
              <w:t>改进措施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15" w:hRule="atLeast"/>
          <w:jc w:val="center"/>
        </w:trPr>
        <w:tc>
          <w:tcPr>
            <w:tcW w:w="1001" w:type="dxa"/>
            <w:vMerge w:val="restart"/>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绩效</w:t>
            </w:r>
          </w:p>
          <w:p>
            <w:pPr>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指标</w:t>
            </w:r>
          </w:p>
        </w:tc>
        <w:tc>
          <w:tcPr>
            <w:tcW w:w="781"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产出指标</w:t>
            </w:r>
          </w:p>
          <w:p>
            <w:pPr>
              <w:widowControl/>
              <w:spacing w:beforeLines="0" w:afterLines="0" w:line="240" w:lineRule="exact"/>
              <w:jc w:val="center"/>
              <w:rPr>
                <w:rFonts w:hint="eastAsia" w:ascii="仿宋" w:hAnsi="仿宋" w:eastAsia="仿宋" w:cs="仿宋"/>
                <w:color w:val="000000"/>
                <w:kern w:val="0"/>
                <w:sz w:val="20"/>
                <w:szCs w:val="20"/>
                <w:highlight w:val="none"/>
              </w:rPr>
            </w:pPr>
          </w:p>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（50分）</w:t>
            </w:r>
          </w:p>
        </w:tc>
        <w:tc>
          <w:tcPr>
            <w:tcW w:w="700"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数量</w:t>
            </w:r>
          </w:p>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指标</w:t>
            </w:r>
          </w:p>
        </w:tc>
        <w:tc>
          <w:tcPr>
            <w:tcW w:w="1947" w:type="dxa"/>
            <w:gridSpan w:val="2"/>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公务用车购置</w:t>
            </w:r>
          </w:p>
        </w:tc>
        <w:tc>
          <w:tcPr>
            <w:tcW w:w="99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≤1台</w:t>
            </w:r>
          </w:p>
        </w:tc>
        <w:tc>
          <w:tcPr>
            <w:tcW w:w="1196"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1台</w:t>
            </w:r>
          </w:p>
        </w:tc>
        <w:tc>
          <w:tcPr>
            <w:tcW w:w="76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5</w:t>
            </w:r>
          </w:p>
        </w:tc>
        <w:tc>
          <w:tcPr>
            <w:tcW w:w="845"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5</w:t>
            </w:r>
          </w:p>
        </w:tc>
        <w:tc>
          <w:tcPr>
            <w:tcW w:w="1692"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30" w:hRule="atLeast"/>
          <w:jc w:val="center"/>
        </w:trPr>
        <w:tc>
          <w:tcPr>
            <w:tcW w:w="1001"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78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700"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仿宋" w:hAnsi="仿宋" w:eastAsia="仿宋" w:cs="仿宋"/>
                <w:color w:val="000000"/>
                <w:kern w:val="0"/>
                <w:sz w:val="20"/>
                <w:szCs w:val="20"/>
                <w:highlight w:val="none"/>
              </w:rPr>
            </w:pPr>
          </w:p>
        </w:tc>
        <w:tc>
          <w:tcPr>
            <w:tcW w:w="1947" w:type="dxa"/>
            <w:gridSpan w:val="2"/>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开展一次个私指导服务工作会议</w:t>
            </w:r>
          </w:p>
        </w:tc>
        <w:tc>
          <w:tcPr>
            <w:tcW w:w="99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18"/>
                <w:szCs w:val="18"/>
                <w:highlight w:val="none"/>
              </w:rPr>
              <w:t>≥</w:t>
            </w:r>
            <w:r>
              <w:rPr>
                <w:rFonts w:hint="eastAsia" w:ascii="仿宋" w:hAnsi="仿宋" w:eastAsia="仿宋" w:cs="仿宋"/>
                <w:color w:val="000000"/>
                <w:kern w:val="0"/>
                <w:sz w:val="20"/>
                <w:szCs w:val="20"/>
                <w:highlight w:val="none"/>
              </w:rPr>
              <w:t>40人次</w:t>
            </w:r>
          </w:p>
        </w:tc>
        <w:tc>
          <w:tcPr>
            <w:tcW w:w="1196"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4</w:t>
            </w:r>
            <w:r>
              <w:rPr>
                <w:rFonts w:hint="eastAsia" w:ascii="仿宋" w:hAnsi="仿宋" w:eastAsia="仿宋" w:cs="仿宋"/>
                <w:color w:val="000000"/>
                <w:kern w:val="0"/>
                <w:sz w:val="20"/>
                <w:szCs w:val="20"/>
                <w:highlight w:val="none"/>
                <w:lang w:val="en-US" w:eastAsia="zh-CN"/>
              </w:rPr>
              <w:t>5</w:t>
            </w:r>
            <w:r>
              <w:rPr>
                <w:rFonts w:hint="eastAsia" w:ascii="仿宋" w:hAnsi="仿宋" w:eastAsia="仿宋" w:cs="仿宋"/>
                <w:color w:val="000000"/>
                <w:kern w:val="0"/>
                <w:sz w:val="20"/>
                <w:szCs w:val="20"/>
                <w:highlight w:val="none"/>
              </w:rPr>
              <w:t>人次</w:t>
            </w:r>
          </w:p>
        </w:tc>
        <w:tc>
          <w:tcPr>
            <w:tcW w:w="76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5</w:t>
            </w:r>
          </w:p>
        </w:tc>
        <w:tc>
          <w:tcPr>
            <w:tcW w:w="845"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5</w:t>
            </w:r>
          </w:p>
        </w:tc>
        <w:tc>
          <w:tcPr>
            <w:tcW w:w="1692"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30" w:hRule="atLeast"/>
          <w:jc w:val="center"/>
        </w:trPr>
        <w:tc>
          <w:tcPr>
            <w:tcW w:w="1001"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78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700"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仿宋" w:hAnsi="仿宋" w:eastAsia="仿宋" w:cs="仿宋"/>
                <w:color w:val="000000"/>
                <w:kern w:val="0"/>
                <w:sz w:val="20"/>
                <w:szCs w:val="20"/>
                <w:highlight w:val="none"/>
              </w:rPr>
            </w:pPr>
          </w:p>
        </w:tc>
        <w:tc>
          <w:tcPr>
            <w:tcW w:w="1947" w:type="dxa"/>
            <w:gridSpan w:val="2"/>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事业单位人员培训</w:t>
            </w:r>
          </w:p>
        </w:tc>
        <w:tc>
          <w:tcPr>
            <w:tcW w:w="99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18"/>
                <w:szCs w:val="18"/>
                <w:highlight w:val="none"/>
              </w:rPr>
              <w:t>≥</w:t>
            </w:r>
            <w:r>
              <w:rPr>
                <w:rFonts w:hint="eastAsia" w:ascii="仿宋" w:hAnsi="仿宋" w:eastAsia="仿宋" w:cs="仿宋"/>
                <w:color w:val="000000"/>
                <w:kern w:val="0"/>
                <w:sz w:val="20"/>
                <w:szCs w:val="20"/>
                <w:highlight w:val="none"/>
              </w:rPr>
              <w:t>34人次</w:t>
            </w:r>
          </w:p>
        </w:tc>
        <w:tc>
          <w:tcPr>
            <w:tcW w:w="1196"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3</w:t>
            </w:r>
            <w:r>
              <w:rPr>
                <w:rFonts w:hint="eastAsia" w:ascii="仿宋" w:hAnsi="仿宋" w:eastAsia="仿宋" w:cs="仿宋"/>
                <w:color w:val="000000"/>
                <w:kern w:val="0"/>
                <w:sz w:val="20"/>
                <w:szCs w:val="20"/>
                <w:highlight w:val="none"/>
                <w:lang w:val="en-US" w:eastAsia="zh-CN"/>
              </w:rPr>
              <w:t>5</w:t>
            </w:r>
            <w:r>
              <w:rPr>
                <w:rFonts w:hint="eastAsia" w:ascii="仿宋" w:hAnsi="仿宋" w:eastAsia="仿宋" w:cs="仿宋"/>
                <w:color w:val="000000"/>
                <w:kern w:val="0"/>
                <w:sz w:val="20"/>
                <w:szCs w:val="20"/>
                <w:highlight w:val="none"/>
              </w:rPr>
              <w:t>人次</w:t>
            </w:r>
          </w:p>
        </w:tc>
        <w:tc>
          <w:tcPr>
            <w:tcW w:w="76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5</w:t>
            </w:r>
          </w:p>
        </w:tc>
        <w:tc>
          <w:tcPr>
            <w:tcW w:w="845"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5</w:t>
            </w:r>
          </w:p>
        </w:tc>
        <w:tc>
          <w:tcPr>
            <w:tcW w:w="1692"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444" w:hRule="atLeast"/>
          <w:jc w:val="center"/>
        </w:trPr>
        <w:tc>
          <w:tcPr>
            <w:tcW w:w="1001"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78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70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质量</w:t>
            </w:r>
          </w:p>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指标</w:t>
            </w:r>
          </w:p>
        </w:tc>
        <w:tc>
          <w:tcPr>
            <w:tcW w:w="1947" w:type="dxa"/>
            <w:gridSpan w:val="2"/>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lang w:val="en"/>
              </w:rPr>
            </w:pPr>
            <w:r>
              <w:rPr>
                <w:rFonts w:hint="eastAsia" w:ascii="仿宋" w:hAnsi="仿宋" w:eastAsia="仿宋" w:cs="仿宋"/>
                <w:color w:val="000000"/>
                <w:kern w:val="0"/>
                <w:sz w:val="20"/>
                <w:szCs w:val="20"/>
                <w:highlight w:val="none"/>
              </w:rPr>
              <w:t>维修合率</w:t>
            </w:r>
          </w:p>
        </w:tc>
        <w:tc>
          <w:tcPr>
            <w:tcW w:w="99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100%</w:t>
            </w:r>
          </w:p>
        </w:tc>
        <w:tc>
          <w:tcPr>
            <w:tcW w:w="1196"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100%</w:t>
            </w:r>
          </w:p>
        </w:tc>
        <w:tc>
          <w:tcPr>
            <w:tcW w:w="76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10</w:t>
            </w:r>
          </w:p>
        </w:tc>
        <w:tc>
          <w:tcPr>
            <w:tcW w:w="845"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10</w:t>
            </w:r>
          </w:p>
        </w:tc>
        <w:tc>
          <w:tcPr>
            <w:tcW w:w="1692"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72" w:hRule="atLeast"/>
          <w:jc w:val="center"/>
        </w:trPr>
        <w:tc>
          <w:tcPr>
            <w:tcW w:w="1001"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78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70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时效</w:t>
            </w:r>
          </w:p>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指标</w:t>
            </w:r>
          </w:p>
        </w:tc>
        <w:tc>
          <w:tcPr>
            <w:tcW w:w="1947" w:type="dxa"/>
            <w:gridSpan w:val="2"/>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任务完成时间</w:t>
            </w:r>
          </w:p>
        </w:tc>
        <w:tc>
          <w:tcPr>
            <w:tcW w:w="99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202</w:t>
            </w:r>
            <w:r>
              <w:rPr>
                <w:rFonts w:hint="eastAsia" w:ascii="仿宋" w:hAnsi="仿宋" w:eastAsia="仿宋" w:cs="仿宋"/>
                <w:color w:val="000000"/>
                <w:kern w:val="0"/>
                <w:sz w:val="20"/>
                <w:szCs w:val="20"/>
                <w:highlight w:val="none"/>
                <w:lang w:val="en-US" w:eastAsia="zh-CN"/>
              </w:rPr>
              <w:t>3</w:t>
            </w:r>
            <w:r>
              <w:rPr>
                <w:rFonts w:hint="eastAsia" w:ascii="仿宋" w:hAnsi="仿宋" w:eastAsia="仿宋" w:cs="仿宋"/>
                <w:color w:val="000000"/>
                <w:kern w:val="0"/>
                <w:sz w:val="20"/>
                <w:szCs w:val="20"/>
                <w:highlight w:val="none"/>
              </w:rPr>
              <w:t>年12月31日前</w:t>
            </w:r>
          </w:p>
        </w:tc>
        <w:tc>
          <w:tcPr>
            <w:tcW w:w="1196"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202</w:t>
            </w:r>
            <w:r>
              <w:rPr>
                <w:rFonts w:hint="eastAsia" w:ascii="仿宋" w:hAnsi="仿宋" w:eastAsia="仿宋" w:cs="仿宋"/>
                <w:color w:val="000000"/>
                <w:kern w:val="0"/>
                <w:sz w:val="20"/>
                <w:szCs w:val="20"/>
                <w:highlight w:val="none"/>
                <w:lang w:val="en-US" w:eastAsia="zh-CN"/>
              </w:rPr>
              <w:t>3</w:t>
            </w:r>
            <w:r>
              <w:rPr>
                <w:rFonts w:hint="eastAsia" w:ascii="仿宋" w:hAnsi="仿宋" w:eastAsia="仿宋" w:cs="仿宋"/>
                <w:color w:val="000000"/>
                <w:kern w:val="0"/>
                <w:sz w:val="20"/>
                <w:szCs w:val="20"/>
                <w:highlight w:val="none"/>
              </w:rPr>
              <w:t>年12月31日前</w:t>
            </w:r>
          </w:p>
        </w:tc>
        <w:tc>
          <w:tcPr>
            <w:tcW w:w="76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10</w:t>
            </w:r>
          </w:p>
        </w:tc>
        <w:tc>
          <w:tcPr>
            <w:tcW w:w="845"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10</w:t>
            </w:r>
          </w:p>
        </w:tc>
        <w:tc>
          <w:tcPr>
            <w:tcW w:w="1692"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24" w:hRule="atLeast"/>
          <w:jc w:val="center"/>
        </w:trPr>
        <w:tc>
          <w:tcPr>
            <w:tcW w:w="1001"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78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700"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成本</w:t>
            </w:r>
          </w:p>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指标</w:t>
            </w:r>
          </w:p>
        </w:tc>
        <w:tc>
          <w:tcPr>
            <w:tcW w:w="1947" w:type="dxa"/>
            <w:gridSpan w:val="2"/>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sz w:val="20"/>
                <w:szCs w:val="20"/>
                <w:highlight w:val="none"/>
              </w:rPr>
            </w:pPr>
          </w:p>
          <w:p>
            <w:pPr>
              <w:pStyle w:val="2"/>
              <w:spacing w:beforeLines="0" w:afterLines="0"/>
              <w:rPr>
                <w:rFonts w:hint="eastAsia" w:eastAsia="仿宋"/>
                <w:sz w:val="20"/>
                <w:szCs w:val="20"/>
                <w:highlight w:val="none"/>
              </w:rPr>
            </w:pPr>
            <w:r>
              <w:rPr>
                <w:rFonts w:hint="eastAsia" w:ascii="仿宋" w:hAnsi="仿宋" w:eastAsia="仿宋" w:cs="仿宋"/>
                <w:color w:val="000000"/>
                <w:sz w:val="20"/>
                <w:szCs w:val="20"/>
                <w:highlight w:val="none"/>
              </w:rPr>
              <w:t>公务用车购置</w:t>
            </w:r>
          </w:p>
        </w:tc>
        <w:tc>
          <w:tcPr>
            <w:tcW w:w="99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≤27.2万</w:t>
            </w:r>
          </w:p>
        </w:tc>
        <w:tc>
          <w:tcPr>
            <w:tcW w:w="1196"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24.98万</w:t>
            </w:r>
          </w:p>
        </w:tc>
        <w:tc>
          <w:tcPr>
            <w:tcW w:w="76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5</w:t>
            </w:r>
          </w:p>
        </w:tc>
        <w:tc>
          <w:tcPr>
            <w:tcW w:w="845"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5</w:t>
            </w:r>
          </w:p>
        </w:tc>
        <w:tc>
          <w:tcPr>
            <w:tcW w:w="1692"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35" w:hRule="atLeast"/>
          <w:jc w:val="center"/>
        </w:trPr>
        <w:tc>
          <w:tcPr>
            <w:tcW w:w="1001"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78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700"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1947" w:type="dxa"/>
            <w:gridSpan w:val="2"/>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事业单位人员培训</w:t>
            </w:r>
          </w:p>
        </w:tc>
        <w:tc>
          <w:tcPr>
            <w:tcW w:w="99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≤3万</w:t>
            </w:r>
          </w:p>
        </w:tc>
        <w:tc>
          <w:tcPr>
            <w:tcW w:w="1196"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2.18万</w:t>
            </w:r>
          </w:p>
        </w:tc>
        <w:tc>
          <w:tcPr>
            <w:tcW w:w="76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5</w:t>
            </w:r>
          </w:p>
        </w:tc>
        <w:tc>
          <w:tcPr>
            <w:tcW w:w="845"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5</w:t>
            </w:r>
          </w:p>
        </w:tc>
        <w:tc>
          <w:tcPr>
            <w:tcW w:w="1692"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001"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78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700"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1947" w:type="dxa"/>
            <w:gridSpan w:val="2"/>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维修（护）费</w:t>
            </w:r>
          </w:p>
          <w:p>
            <w:pPr>
              <w:widowControl/>
              <w:spacing w:beforeLines="0" w:afterLines="0" w:line="240" w:lineRule="exact"/>
              <w:jc w:val="left"/>
              <w:rPr>
                <w:rFonts w:hint="eastAsia" w:ascii="仿宋" w:hAnsi="仿宋" w:eastAsia="仿宋" w:cs="仿宋"/>
                <w:color w:val="000000"/>
                <w:kern w:val="0"/>
                <w:sz w:val="20"/>
                <w:szCs w:val="20"/>
                <w:highlight w:val="none"/>
              </w:rPr>
            </w:pPr>
          </w:p>
        </w:tc>
        <w:tc>
          <w:tcPr>
            <w:tcW w:w="99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≤206.6万</w:t>
            </w:r>
          </w:p>
        </w:tc>
        <w:tc>
          <w:tcPr>
            <w:tcW w:w="1196"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219.04万</w:t>
            </w:r>
          </w:p>
        </w:tc>
        <w:tc>
          <w:tcPr>
            <w:tcW w:w="76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5</w:t>
            </w:r>
          </w:p>
        </w:tc>
        <w:tc>
          <w:tcPr>
            <w:tcW w:w="845"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4</w:t>
            </w:r>
          </w:p>
        </w:tc>
        <w:tc>
          <w:tcPr>
            <w:tcW w:w="1692"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1001"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781"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效益指标</w:t>
            </w:r>
          </w:p>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（30分）</w:t>
            </w:r>
          </w:p>
          <w:p>
            <w:pPr>
              <w:spacing w:beforeLines="0" w:afterLines="0" w:line="240" w:lineRule="exact"/>
              <w:jc w:val="left"/>
              <w:rPr>
                <w:rFonts w:hint="eastAsia" w:ascii="仿宋" w:hAnsi="仿宋" w:eastAsia="仿宋" w:cs="仿宋"/>
                <w:color w:val="000000"/>
                <w:kern w:val="0"/>
                <w:sz w:val="20"/>
                <w:szCs w:val="20"/>
                <w:highlight w:val="none"/>
              </w:rPr>
            </w:pPr>
          </w:p>
        </w:tc>
        <w:tc>
          <w:tcPr>
            <w:tcW w:w="700"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社会效</w:t>
            </w:r>
          </w:p>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益指标</w:t>
            </w:r>
          </w:p>
        </w:tc>
        <w:tc>
          <w:tcPr>
            <w:tcW w:w="1947" w:type="dxa"/>
            <w:gridSpan w:val="2"/>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sz w:val="20"/>
                <w:szCs w:val="20"/>
                <w:highlight w:val="none"/>
              </w:rPr>
            </w:pPr>
          </w:p>
          <w:p>
            <w:pPr>
              <w:pStyle w:val="2"/>
              <w:spacing w:beforeLines="0" w:afterLines="0"/>
              <w:rPr>
                <w:rFonts w:hint="eastAsia" w:ascii="仿宋" w:hAnsi="仿宋" w:eastAsia="仿宋" w:cs="仿宋"/>
                <w:sz w:val="20"/>
                <w:szCs w:val="20"/>
                <w:highlight w:val="none"/>
              </w:rPr>
            </w:pPr>
            <w:r>
              <w:rPr>
                <w:rFonts w:hint="eastAsia" w:ascii="仿宋" w:hAnsi="仿宋" w:eastAsia="仿宋" w:cs="仿宋"/>
                <w:sz w:val="20"/>
                <w:szCs w:val="20"/>
                <w:highlight w:val="none"/>
              </w:rPr>
              <w:t>完成政务服务工作</w:t>
            </w:r>
          </w:p>
        </w:tc>
        <w:tc>
          <w:tcPr>
            <w:tcW w:w="99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逐步提升</w:t>
            </w:r>
          </w:p>
        </w:tc>
        <w:tc>
          <w:tcPr>
            <w:tcW w:w="1196"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逐步提升</w:t>
            </w:r>
          </w:p>
        </w:tc>
        <w:tc>
          <w:tcPr>
            <w:tcW w:w="76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10</w:t>
            </w:r>
          </w:p>
        </w:tc>
        <w:tc>
          <w:tcPr>
            <w:tcW w:w="845"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10</w:t>
            </w:r>
          </w:p>
        </w:tc>
        <w:tc>
          <w:tcPr>
            <w:tcW w:w="1692"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09" w:hRule="atLeast"/>
          <w:jc w:val="center"/>
        </w:trPr>
        <w:tc>
          <w:tcPr>
            <w:tcW w:w="1001"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78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left"/>
              <w:rPr>
                <w:rFonts w:hint="eastAsia" w:ascii="仿宋" w:hAnsi="仿宋" w:eastAsia="仿宋" w:cs="仿宋"/>
                <w:color w:val="000000"/>
                <w:kern w:val="0"/>
                <w:sz w:val="20"/>
                <w:szCs w:val="20"/>
                <w:highlight w:val="none"/>
              </w:rPr>
            </w:pPr>
          </w:p>
        </w:tc>
        <w:tc>
          <w:tcPr>
            <w:tcW w:w="700"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仿宋" w:hAnsi="仿宋" w:eastAsia="仿宋" w:cs="仿宋"/>
                <w:color w:val="000000"/>
                <w:kern w:val="0"/>
                <w:sz w:val="20"/>
                <w:szCs w:val="20"/>
                <w:highlight w:val="none"/>
              </w:rPr>
            </w:pPr>
          </w:p>
        </w:tc>
        <w:tc>
          <w:tcPr>
            <w:tcW w:w="1947"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2"/>
              <w:spacing w:beforeLines="0" w:afterLines="0"/>
              <w:rPr>
                <w:rFonts w:hint="eastAsia" w:ascii="仿宋" w:hAnsi="仿宋" w:eastAsia="仿宋" w:cs="仿宋"/>
                <w:sz w:val="20"/>
                <w:szCs w:val="20"/>
                <w:highlight w:val="none"/>
              </w:rPr>
            </w:pPr>
            <w:r>
              <w:rPr>
                <w:rFonts w:hint="eastAsia" w:ascii="仿宋" w:hAnsi="仿宋" w:eastAsia="仿宋" w:cs="仿宋"/>
                <w:sz w:val="20"/>
                <w:szCs w:val="20"/>
                <w:highlight w:val="none"/>
              </w:rPr>
              <w:t>完成个私指导服务工作</w:t>
            </w:r>
          </w:p>
        </w:tc>
        <w:tc>
          <w:tcPr>
            <w:tcW w:w="99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逐步提升</w:t>
            </w:r>
          </w:p>
        </w:tc>
        <w:tc>
          <w:tcPr>
            <w:tcW w:w="1196"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逐步提升</w:t>
            </w:r>
          </w:p>
        </w:tc>
        <w:tc>
          <w:tcPr>
            <w:tcW w:w="76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10</w:t>
            </w:r>
          </w:p>
        </w:tc>
        <w:tc>
          <w:tcPr>
            <w:tcW w:w="845"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10</w:t>
            </w:r>
          </w:p>
        </w:tc>
        <w:tc>
          <w:tcPr>
            <w:tcW w:w="1692"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10" w:hRule="atLeast"/>
          <w:jc w:val="center"/>
        </w:trPr>
        <w:tc>
          <w:tcPr>
            <w:tcW w:w="1001"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p>
        </w:tc>
        <w:tc>
          <w:tcPr>
            <w:tcW w:w="78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p>
        </w:tc>
        <w:tc>
          <w:tcPr>
            <w:tcW w:w="70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可持续影响指标</w:t>
            </w:r>
          </w:p>
        </w:tc>
        <w:tc>
          <w:tcPr>
            <w:tcW w:w="1947" w:type="dxa"/>
            <w:gridSpan w:val="2"/>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 xml:space="preserve"> 保证机关工作运转</w:t>
            </w:r>
          </w:p>
        </w:tc>
        <w:tc>
          <w:tcPr>
            <w:tcW w:w="99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平稳有力</w:t>
            </w:r>
          </w:p>
        </w:tc>
        <w:tc>
          <w:tcPr>
            <w:tcW w:w="1196"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平稳有力</w:t>
            </w:r>
          </w:p>
        </w:tc>
        <w:tc>
          <w:tcPr>
            <w:tcW w:w="76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10</w:t>
            </w:r>
          </w:p>
        </w:tc>
        <w:tc>
          <w:tcPr>
            <w:tcW w:w="845"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10</w:t>
            </w:r>
          </w:p>
        </w:tc>
        <w:tc>
          <w:tcPr>
            <w:tcW w:w="1692"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830" w:hRule="atLeast"/>
          <w:jc w:val="center"/>
        </w:trPr>
        <w:tc>
          <w:tcPr>
            <w:tcW w:w="1001" w:type="dxa"/>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绩效</w:t>
            </w:r>
          </w:p>
          <w:p>
            <w:pPr>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指标</w:t>
            </w:r>
          </w:p>
        </w:tc>
        <w:tc>
          <w:tcPr>
            <w:tcW w:w="78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　</w:t>
            </w:r>
          </w:p>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满意度</w:t>
            </w:r>
          </w:p>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指标</w:t>
            </w:r>
          </w:p>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（10分）</w:t>
            </w:r>
          </w:p>
        </w:tc>
        <w:tc>
          <w:tcPr>
            <w:tcW w:w="70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服务对象满意度指标</w:t>
            </w:r>
          </w:p>
        </w:tc>
        <w:tc>
          <w:tcPr>
            <w:tcW w:w="1947" w:type="dxa"/>
            <w:gridSpan w:val="2"/>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事务中心服务对象满意度</w:t>
            </w:r>
          </w:p>
        </w:tc>
        <w:tc>
          <w:tcPr>
            <w:tcW w:w="99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≥90%</w:t>
            </w:r>
          </w:p>
        </w:tc>
        <w:tc>
          <w:tcPr>
            <w:tcW w:w="1196"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90%</w:t>
            </w:r>
          </w:p>
        </w:tc>
        <w:tc>
          <w:tcPr>
            <w:tcW w:w="761"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10</w:t>
            </w:r>
          </w:p>
        </w:tc>
        <w:tc>
          <w:tcPr>
            <w:tcW w:w="845"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10</w:t>
            </w:r>
          </w:p>
        </w:tc>
        <w:tc>
          <w:tcPr>
            <w:tcW w:w="1692"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6616" w:type="dxa"/>
            <w:gridSpan w:val="7"/>
            <w:tcBorders>
              <w:top w:val="single" w:color="auto" w:sz="4" w:space="0"/>
              <w:left w:val="single" w:color="auto" w:sz="8" w:space="0"/>
              <w:bottom w:val="single" w:color="auto" w:sz="8"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总分</w:t>
            </w:r>
          </w:p>
        </w:tc>
        <w:tc>
          <w:tcPr>
            <w:tcW w:w="761" w:type="dxa"/>
            <w:tcBorders>
              <w:top w:val="single" w:color="auto" w:sz="4" w:space="0"/>
              <w:left w:val="single" w:color="auto" w:sz="4" w:space="0"/>
              <w:bottom w:val="single" w:color="auto" w:sz="8"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100</w:t>
            </w:r>
          </w:p>
        </w:tc>
        <w:tc>
          <w:tcPr>
            <w:tcW w:w="845" w:type="dxa"/>
            <w:tcBorders>
              <w:top w:val="single" w:color="auto" w:sz="4" w:space="0"/>
              <w:left w:val="single" w:color="auto" w:sz="4" w:space="0"/>
              <w:bottom w:val="single" w:color="auto" w:sz="8"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98</w:t>
            </w:r>
          </w:p>
        </w:tc>
        <w:tc>
          <w:tcPr>
            <w:tcW w:w="1692" w:type="dxa"/>
            <w:tcBorders>
              <w:top w:val="single" w:color="auto" w:sz="4" w:space="0"/>
              <w:left w:val="single" w:color="auto" w:sz="4" w:space="0"/>
              <w:bottom w:val="single" w:color="auto" w:sz="8" w:space="0"/>
              <w:right w:val="single" w:color="auto" w:sz="8" w:space="0"/>
              <w:tl2br w:val="nil"/>
              <w:tr2bl w:val="nil"/>
            </w:tcBorders>
            <w:vAlign w:val="center"/>
          </w:tcPr>
          <w:p>
            <w:pPr>
              <w:widowControl/>
              <w:spacing w:beforeLines="0" w:afterLines="0" w:line="240" w:lineRule="exact"/>
              <w:jc w:val="left"/>
              <w:rPr>
                <w:rFonts w:hint="eastAsia" w:ascii="仿宋" w:hAnsi="仿宋" w:eastAsia="仿宋" w:cs="仿宋"/>
                <w:color w:val="000000"/>
                <w:kern w:val="0"/>
                <w:sz w:val="18"/>
                <w:szCs w:val="18"/>
                <w:highlight w:val="none"/>
              </w:rPr>
            </w:pPr>
            <w:r>
              <w:rPr>
                <w:rFonts w:hint="eastAsia" w:ascii="仿宋" w:hAnsi="仿宋" w:eastAsia="仿宋" w:cs="仿宋"/>
                <w:color w:val="000000"/>
                <w:kern w:val="0"/>
                <w:sz w:val="18"/>
                <w:szCs w:val="18"/>
                <w:highlight w:val="none"/>
              </w:rPr>
              <w:t>　</w:t>
            </w:r>
          </w:p>
        </w:tc>
      </w:tr>
    </w:tbl>
    <w:p>
      <w:pPr>
        <w:widowControl/>
        <w:spacing w:beforeLines="0" w:after="156" w:afterLines="50" w:line="400" w:lineRule="exact"/>
        <w:jc w:val="left"/>
        <w:rPr>
          <w:rFonts w:hint="eastAsia" w:ascii="宋体" w:hAnsi="宋体" w:cs="宋体"/>
          <w:kern w:val="0"/>
          <w:sz w:val="21"/>
          <w:szCs w:val="21"/>
          <w:highlight w:val="none"/>
        </w:rPr>
        <w:sectPr>
          <w:pgSz w:w="11906" w:h="16838"/>
          <w:pgMar w:top="1985" w:right="1474" w:bottom="1361" w:left="1474" w:header="851" w:footer="1134" w:gutter="0"/>
          <w:lnNumType w:countBy="0" w:distance="360"/>
          <w:cols w:space="720" w:num="1"/>
          <w:docGrid w:type="lines" w:linePitch="312" w:charSpace="0"/>
        </w:sectPr>
      </w:pPr>
      <w:r>
        <w:rPr>
          <w:rFonts w:hint="eastAsia" w:ascii="宋体" w:hAnsi="宋体" w:cs="宋体"/>
          <w:kern w:val="0"/>
          <w:sz w:val="21"/>
          <w:szCs w:val="21"/>
          <w:highlight w:val="none"/>
        </w:rPr>
        <w:t>填表人：庞桠文    填报日期：2023/3/28   联系电话：13574880456    单位负责人签字：</w:t>
      </w:r>
    </w:p>
    <w:p>
      <w:pPr>
        <w:keepNext w:val="0"/>
        <w:keepLines w:val="0"/>
        <w:pageBreakBefore w:val="0"/>
        <w:widowControl w:val="0"/>
        <w:kinsoku/>
        <w:wordWrap/>
        <w:overflowPunct/>
        <w:topLinePunct w:val="0"/>
        <w:autoSpaceDE/>
        <w:autoSpaceDN/>
        <w:bidi w:val="0"/>
        <w:adjustRightInd/>
        <w:snapToGrid/>
        <w:spacing w:beforeLines="0" w:afterLines="0" w:line="500" w:lineRule="exact"/>
        <w:textAlignment w:val="auto"/>
        <w:rPr>
          <w:rFonts w:hint="default" w:ascii="Times New Roman" w:hAnsi="Times New Roman" w:eastAsia="Times New Roman"/>
          <w:color w:val="auto"/>
          <w:sz w:val="32"/>
          <w:szCs w:val="32"/>
          <w:highlight w:val="none"/>
        </w:rPr>
      </w:pPr>
      <w:r>
        <w:rPr>
          <w:rFonts w:hint="eastAsia" w:ascii="Times New Roman" w:hAnsi="Times New Roman" w:eastAsia="方正黑体_GBK"/>
          <w:color w:val="auto"/>
          <w:sz w:val="32"/>
          <w:szCs w:val="32"/>
          <w:highlight w:val="none"/>
        </w:rPr>
        <w:t>附件4</w:t>
      </w:r>
    </w:p>
    <w:tbl>
      <w:tblPr>
        <w:tblStyle w:val="9"/>
        <w:tblpPr w:leftFromText="180" w:rightFromText="180" w:vertAnchor="text" w:horzAnchor="page" w:tblpX="1226" w:tblpY="1616"/>
        <w:tblOverlap w:val="never"/>
        <w:tblW w:w="935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1024"/>
        <w:gridCol w:w="1025"/>
        <w:gridCol w:w="908"/>
        <w:gridCol w:w="1181"/>
        <w:gridCol w:w="1183"/>
        <w:gridCol w:w="1216"/>
        <w:gridCol w:w="640"/>
        <w:gridCol w:w="830"/>
        <w:gridCol w:w="134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2957" w:type="dxa"/>
            <w:gridSpan w:val="3"/>
            <w:tcBorders>
              <w:top w:val="single" w:color="auto" w:sz="8"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项目支出名称</w:t>
            </w:r>
          </w:p>
        </w:tc>
        <w:tc>
          <w:tcPr>
            <w:tcW w:w="6397" w:type="dxa"/>
            <w:gridSpan w:val="6"/>
            <w:tcBorders>
              <w:top w:val="single" w:color="auto" w:sz="8"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个私专项工作经费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1024" w:type="dxa"/>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主管部门</w:t>
            </w:r>
          </w:p>
        </w:tc>
        <w:tc>
          <w:tcPr>
            <w:tcW w:w="4297" w:type="dxa"/>
            <w:gridSpan w:val="4"/>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湖南省市场监督管理局</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实施单位</w:t>
            </w:r>
          </w:p>
        </w:tc>
        <w:tc>
          <w:tcPr>
            <w:tcW w:w="2817" w:type="dxa"/>
            <w:gridSpan w:val="3"/>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湖南省市场监管事务中心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1024" w:type="dxa"/>
            <w:vMerge w:val="restart"/>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项目资金</w:t>
            </w:r>
            <w:r>
              <w:rPr>
                <w:rFonts w:hint="eastAsia" w:ascii="Times New Roman" w:hAnsi="Times New Roman" w:eastAsia="方正仿宋_GBK" w:cs="方正仿宋_GBK"/>
                <w:color w:val="auto"/>
                <w:sz w:val="20"/>
                <w:szCs w:val="20"/>
                <w:highlight w:val="none"/>
              </w:rPr>
              <w:br w:type="textWrapping"/>
            </w:r>
            <w:r>
              <w:rPr>
                <w:rFonts w:hint="eastAsia" w:ascii="Times New Roman" w:hAnsi="Times New Roman" w:eastAsia="方正仿宋_GBK" w:cs="方正仿宋_GBK"/>
                <w:color w:val="auto"/>
                <w:sz w:val="20"/>
                <w:szCs w:val="20"/>
                <w:highlight w:val="none"/>
              </w:rPr>
              <w:t>（万元）</w:t>
            </w:r>
          </w:p>
        </w:tc>
        <w:tc>
          <w:tcPr>
            <w:tcW w:w="193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18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年初预算数</w:t>
            </w:r>
          </w:p>
        </w:tc>
        <w:tc>
          <w:tcPr>
            <w:tcW w:w="118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全年预算数</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全年执行数</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分值</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执行率</w:t>
            </w:r>
          </w:p>
        </w:tc>
        <w:tc>
          <w:tcPr>
            <w:tcW w:w="1347"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自评得分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93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年度资金总额</w:t>
            </w:r>
          </w:p>
        </w:tc>
        <w:tc>
          <w:tcPr>
            <w:tcW w:w="118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28.26</w:t>
            </w:r>
          </w:p>
        </w:tc>
        <w:tc>
          <w:tcPr>
            <w:tcW w:w="118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28.26</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28.26</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100%</w:t>
            </w:r>
          </w:p>
        </w:tc>
        <w:tc>
          <w:tcPr>
            <w:tcW w:w="1347"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93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其中：当年财政拨款</w:t>
            </w:r>
          </w:p>
        </w:tc>
        <w:tc>
          <w:tcPr>
            <w:tcW w:w="118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18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347"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32" w:hRule="atLeast"/>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93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ind w:firstLine="600" w:firstLineChars="300"/>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上年结转资金</w:t>
            </w:r>
          </w:p>
        </w:tc>
        <w:tc>
          <w:tcPr>
            <w:tcW w:w="118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28.26</w:t>
            </w:r>
          </w:p>
        </w:tc>
        <w:tc>
          <w:tcPr>
            <w:tcW w:w="118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28.26</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347"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93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ind w:firstLine="600" w:firstLineChars="300"/>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其他资金</w:t>
            </w:r>
          </w:p>
        </w:tc>
        <w:tc>
          <w:tcPr>
            <w:tcW w:w="118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18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347"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1024" w:type="dxa"/>
            <w:vMerge w:val="restart"/>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年度总体目标</w:t>
            </w:r>
          </w:p>
        </w:tc>
        <w:tc>
          <w:tcPr>
            <w:tcW w:w="4297" w:type="dxa"/>
            <w:gridSpan w:val="4"/>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预期目标</w:t>
            </w:r>
          </w:p>
        </w:tc>
        <w:tc>
          <w:tcPr>
            <w:tcW w:w="4033" w:type="dxa"/>
            <w:gridSpan w:val="4"/>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实际完成情况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02" w:hRule="atLeast"/>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4297" w:type="dxa"/>
            <w:gridSpan w:val="4"/>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完成个私发展指导服务工作，助推个体私营经济高质量发展。</w:t>
            </w:r>
          </w:p>
        </w:tc>
        <w:tc>
          <w:tcPr>
            <w:tcW w:w="4033" w:type="dxa"/>
            <w:gridSpan w:val="4"/>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sz w:val="20"/>
                <w:szCs w:val="20"/>
                <w:highlight w:val="none"/>
              </w:rPr>
              <w:t>完成了“特湘小店”成长计划和“招才引智”光彩服务月活动。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1024" w:type="dxa"/>
            <w:vMerge w:val="restart"/>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绩</w:t>
            </w:r>
          </w:p>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效</w:t>
            </w:r>
          </w:p>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指</w:t>
            </w:r>
          </w:p>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标</w:t>
            </w:r>
          </w:p>
        </w:tc>
        <w:tc>
          <w:tcPr>
            <w:tcW w:w="1025"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一级指标</w:t>
            </w:r>
          </w:p>
        </w:tc>
        <w:tc>
          <w:tcPr>
            <w:tcW w:w="908"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二级指标</w:t>
            </w:r>
          </w:p>
        </w:tc>
        <w:tc>
          <w:tcPr>
            <w:tcW w:w="118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三级指标</w:t>
            </w:r>
          </w:p>
        </w:tc>
        <w:tc>
          <w:tcPr>
            <w:tcW w:w="118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年度</w:t>
            </w:r>
          </w:p>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指标值</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实际</w:t>
            </w:r>
          </w:p>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完成值</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分值</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16"/>
                <w:szCs w:val="16"/>
                <w:highlight w:val="none"/>
              </w:rPr>
              <w:t>自评得分</w:t>
            </w:r>
          </w:p>
        </w:tc>
        <w:tc>
          <w:tcPr>
            <w:tcW w:w="1347"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偏差原因分析及改进措施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025"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产出指标</w:t>
            </w:r>
          </w:p>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（50分）</w:t>
            </w:r>
          </w:p>
        </w:tc>
        <w:tc>
          <w:tcPr>
            <w:tcW w:w="908"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数量指标</w:t>
            </w:r>
          </w:p>
        </w:tc>
        <w:tc>
          <w:tcPr>
            <w:tcW w:w="118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sz w:val="20"/>
                <w:szCs w:val="20"/>
                <w:highlight w:val="none"/>
              </w:rPr>
              <w:t>完成“特湘小店”成长计划活动</w:t>
            </w:r>
          </w:p>
        </w:tc>
        <w:tc>
          <w:tcPr>
            <w:tcW w:w="118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方正仿宋_GBK" w:hAnsi="方正仿宋_GBK" w:eastAsia="方正仿宋_GBK" w:cs="方正仿宋_GBK"/>
                <w:color w:val="auto"/>
                <w:sz w:val="20"/>
                <w:szCs w:val="20"/>
                <w:highlight w:val="none"/>
              </w:rPr>
              <w:t>1次/年</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方正仿宋_GBK" w:hAnsi="方正仿宋_GBK" w:eastAsia="方正仿宋_GBK" w:cs="方正仿宋_GBK"/>
                <w:color w:val="auto"/>
                <w:sz w:val="20"/>
                <w:szCs w:val="20"/>
                <w:highlight w:val="none"/>
              </w:rPr>
              <w:t>1次/年</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1347"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908"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18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sz w:val="20"/>
                <w:szCs w:val="20"/>
                <w:highlight w:val="none"/>
              </w:rPr>
              <w:t>完成“招才引智”光彩服务月活动</w:t>
            </w:r>
          </w:p>
        </w:tc>
        <w:tc>
          <w:tcPr>
            <w:tcW w:w="118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方正仿宋_GBK" w:hAnsi="方正仿宋_GBK" w:eastAsia="方正仿宋_GBK" w:cs="方正仿宋_GBK"/>
                <w:color w:val="auto"/>
                <w:sz w:val="20"/>
                <w:szCs w:val="20"/>
                <w:highlight w:val="none"/>
              </w:rPr>
              <w:t>1次/年</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方正仿宋_GBK" w:hAnsi="方正仿宋_GBK" w:eastAsia="方正仿宋_GBK" w:cs="方正仿宋_GBK"/>
                <w:color w:val="auto"/>
                <w:sz w:val="20"/>
                <w:szCs w:val="20"/>
                <w:highlight w:val="none"/>
              </w:rPr>
              <w:t>1次/年</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1347"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908"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质量指标</w:t>
            </w:r>
          </w:p>
        </w:tc>
        <w:tc>
          <w:tcPr>
            <w:tcW w:w="118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完成个私发展指导服务工作完成率</w:t>
            </w:r>
          </w:p>
        </w:tc>
        <w:tc>
          <w:tcPr>
            <w:tcW w:w="118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100%</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100%</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15</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15</w:t>
            </w:r>
          </w:p>
        </w:tc>
        <w:tc>
          <w:tcPr>
            <w:tcW w:w="1347"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908"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时效指标</w:t>
            </w:r>
          </w:p>
        </w:tc>
        <w:tc>
          <w:tcPr>
            <w:tcW w:w="118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完成个私发展指导服务工作时间</w:t>
            </w:r>
          </w:p>
        </w:tc>
        <w:tc>
          <w:tcPr>
            <w:tcW w:w="118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202</w:t>
            </w:r>
            <w:r>
              <w:rPr>
                <w:rFonts w:hint="eastAsia" w:ascii="Times New Roman" w:hAnsi="Times New Roman" w:eastAsia="方正仿宋_GBK" w:cs="方正仿宋_GBK"/>
                <w:color w:val="auto"/>
                <w:sz w:val="20"/>
                <w:szCs w:val="20"/>
                <w:highlight w:val="none"/>
                <w:lang w:val="en-US" w:eastAsia="zh-CN"/>
              </w:rPr>
              <w:t>3</w:t>
            </w:r>
            <w:r>
              <w:rPr>
                <w:rFonts w:hint="eastAsia" w:ascii="Times New Roman" w:hAnsi="Times New Roman" w:eastAsia="方正仿宋_GBK" w:cs="方正仿宋_GBK"/>
                <w:color w:val="auto"/>
                <w:sz w:val="20"/>
                <w:szCs w:val="20"/>
                <w:highlight w:val="none"/>
              </w:rPr>
              <w:t>年12月31日前</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202</w:t>
            </w:r>
            <w:r>
              <w:rPr>
                <w:rFonts w:hint="eastAsia" w:ascii="Times New Roman" w:hAnsi="Times New Roman" w:eastAsia="方正仿宋_GBK" w:cs="方正仿宋_GBK"/>
                <w:color w:val="auto"/>
                <w:sz w:val="20"/>
                <w:szCs w:val="20"/>
                <w:highlight w:val="none"/>
                <w:lang w:val="en-US" w:eastAsia="zh-CN"/>
              </w:rPr>
              <w:t>3</w:t>
            </w:r>
            <w:r>
              <w:rPr>
                <w:rFonts w:hint="eastAsia" w:ascii="Times New Roman" w:hAnsi="Times New Roman" w:eastAsia="方正仿宋_GBK" w:cs="方正仿宋_GBK"/>
                <w:color w:val="auto"/>
                <w:sz w:val="20"/>
                <w:szCs w:val="20"/>
                <w:highlight w:val="none"/>
              </w:rPr>
              <w:t>年12月31日前</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5</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5</w:t>
            </w:r>
          </w:p>
        </w:tc>
        <w:tc>
          <w:tcPr>
            <w:tcW w:w="1347"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yellow"/>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908"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成本指标</w:t>
            </w:r>
          </w:p>
        </w:tc>
        <w:tc>
          <w:tcPr>
            <w:tcW w:w="118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sz w:val="20"/>
                <w:szCs w:val="20"/>
                <w:highlight w:val="none"/>
              </w:rPr>
              <w:t>完成“特湘小店”成长计划活动</w:t>
            </w:r>
          </w:p>
        </w:tc>
        <w:tc>
          <w:tcPr>
            <w:tcW w:w="118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仿宋" w:hAnsi="仿宋" w:eastAsia="仿宋" w:cs="仿宋"/>
                <w:color w:val="000000"/>
                <w:kern w:val="0"/>
                <w:sz w:val="18"/>
                <w:szCs w:val="18"/>
                <w:highlight w:val="none"/>
              </w:rPr>
              <w:t>≤14.86</w:t>
            </w:r>
            <w:r>
              <w:rPr>
                <w:rFonts w:hint="eastAsia" w:ascii="Times New Roman" w:hAnsi="Times New Roman" w:eastAsia="方正仿宋_GBK" w:cs="方正仿宋_GBK"/>
                <w:color w:val="auto"/>
                <w:sz w:val="20"/>
                <w:szCs w:val="20"/>
                <w:highlight w:val="none"/>
              </w:rPr>
              <w:t>万</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仿宋" w:hAnsi="仿宋" w:eastAsia="仿宋" w:cs="仿宋"/>
                <w:color w:val="000000"/>
                <w:kern w:val="0"/>
                <w:sz w:val="18"/>
                <w:szCs w:val="18"/>
                <w:highlight w:val="none"/>
              </w:rPr>
              <w:t>14.86</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5</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5</w:t>
            </w:r>
          </w:p>
        </w:tc>
        <w:tc>
          <w:tcPr>
            <w:tcW w:w="1347"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28" w:hRule="atLeast"/>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908"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18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sz w:val="20"/>
                <w:szCs w:val="20"/>
                <w:highlight w:val="none"/>
              </w:rPr>
              <w:t>完成“招才引智”光彩服务月活动</w:t>
            </w:r>
          </w:p>
        </w:tc>
        <w:tc>
          <w:tcPr>
            <w:tcW w:w="118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仿宋" w:hAnsi="仿宋" w:eastAsia="仿宋" w:cs="仿宋"/>
                <w:color w:val="000000"/>
                <w:kern w:val="0"/>
                <w:sz w:val="18"/>
                <w:szCs w:val="18"/>
                <w:highlight w:val="none"/>
              </w:rPr>
              <w:t>≤13.4万</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仿宋" w:hAnsi="仿宋" w:eastAsia="仿宋" w:cs="仿宋"/>
                <w:color w:val="000000"/>
                <w:kern w:val="0"/>
                <w:sz w:val="18"/>
                <w:szCs w:val="18"/>
                <w:highlight w:val="none"/>
              </w:rPr>
              <w:t>13.4</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5</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5</w:t>
            </w:r>
          </w:p>
        </w:tc>
        <w:tc>
          <w:tcPr>
            <w:tcW w:w="1347"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11" w:hRule="atLeast"/>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025"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效益指标</w:t>
            </w:r>
          </w:p>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（30分）</w:t>
            </w:r>
          </w:p>
        </w:tc>
        <w:tc>
          <w:tcPr>
            <w:tcW w:w="908"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经济效</w:t>
            </w:r>
          </w:p>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益指标</w:t>
            </w:r>
          </w:p>
        </w:tc>
        <w:tc>
          <w:tcPr>
            <w:tcW w:w="118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rPr>
                <w:rFonts w:hint="eastAsia" w:ascii="Times New Roman" w:hAnsi="Times New Roman" w:eastAsia="方正仿宋_GBK" w:cs="方正仿宋_GBK"/>
                <w:color w:val="auto"/>
                <w:sz w:val="20"/>
                <w:szCs w:val="20"/>
                <w:highlight w:val="none"/>
              </w:rPr>
            </w:pPr>
          </w:p>
        </w:tc>
        <w:tc>
          <w:tcPr>
            <w:tcW w:w="118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347"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20" w:hRule="atLeast"/>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908"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社会效</w:t>
            </w:r>
          </w:p>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益指标</w:t>
            </w:r>
          </w:p>
        </w:tc>
        <w:tc>
          <w:tcPr>
            <w:tcW w:w="118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个私发展指导服务工作</w:t>
            </w:r>
          </w:p>
        </w:tc>
        <w:tc>
          <w:tcPr>
            <w:tcW w:w="118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逐步提升</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逐步提升</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1347"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908"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生态效</w:t>
            </w:r>
          </w:p>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益指标</w:t>
            </w:r>
          </w:p>
        </w:tc>
        <w:tc>
          <w:tcPr>
            <w:tcW w:w="118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rPr>
                <w:rFonts w:hint="eastAsia" w:ascii="Times New Roman" w:hAnsi="Times New Roman" w:eastAsia="方正仿宋_GBK" w:cs="方正仿宋_GBK"/>
                <w:color w:val="auto"/>
                <w:sz w:val="20"/>
                <w:szCs w:val="20"/>
                <w:highlight w:val="none"/>
              </w:rPr>
            </w:pPr>
          </w:p>
        </w:tc>
        <w:tc>
          <w:tcPr>
            <w:tcW w:w="118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347"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908"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可持续影响指标</w:t>
            </w:r>
          </w:p>
        </w:tc>
        <w:tc>
          <w:tcPr>
            <w:tcW w:w="118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rPr>
                <w:rFonts w:hint="eastAsia" w:ascii="Times New Roman" w:hAnsi="Times New Roman" w:eastAsia="方正仿宋_GBK" w:cs="方正仿宋_GBK"/>
                <w:color w:val="auto"/>
                <w:sz w:val="20"/>
                <w:szCs w:val="20"/>
                <w:highlight w:val="none"/>
              </w:rPr>
            </w:pPr>
          </w:p>
        </w:tc>
        <w:tc>
          <w:tcPr>
            <w:tcW w:w="118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347"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c>
          <w:tcPr>
            <w:tcW w:w="1025"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满意度</w:t>
            </w:r>
          </w:p>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指标</w:t>
            </w:r>
          </w:p>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（10分）</w:t>
            </w:r>
          </w:p>
        </w:tc>
        <w:tc>
          <w:tcPr>
            <w:tcW w:w="908"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服务对象满意度指标</w:t>
            </w:r>
          </w:p>
        </w:tc>
        <w:tc>
          <w:tcPr>
            <w:tcW w:w="118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全省个私企业满意度</w:t>
            </w:r>
          </w:p>
        </w:tc>
        <w:tc>
          <w:tcPr>
            <w:tcW w:w="1183"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18"/>
                <w:szCs w:val="18"/>
                <w:highlight w:val="none"/>
              </w:rPr>
            </w:pPr>
            <w:r>
              <w:rPr>
                <w:rFonts w:hint="eastAsia" w:ascii="仿宋" w:hAnsi="仿宋" w:eastAsia="仿宋" w:cs="仿宋"/>
                <w:color w:val="000000"/>
                <w:kern w:val="0"/>
                <w:sz w:val="18"/>
                <w:szCs w:val="18"/>
                <w:highlight w:val="none"/>
              </w:rPr>
              <w:t>≥90%</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18"/>
                <w:szCs w:val="18"/>
                <w:highlight w:val="none"/>
              </w:rPr>
            </w:pPr>
            <w:r>
              <w:rPr>
                <w:rFonts w:hint="eastAsia" w:ascii="仿宋" w:hAnsi="仿宋" w:eastAsia="仿宋" w:cs="仿宋"/>
                <w:color w:val="000000"/>
                <w:kern w:val="0"/>
                <w:sz w:val="18"/>
                <w:szCs w:val="18"/>
                <w:highlight w:val="none"/>
              </w:rPr>
              <w:t>90%</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1347"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6537" w:type="dxa"/>
            <w:gridSpan w:val="6"/>
            <w:tcBorders>
              <w:top w:val="single" w:color="auto" w:sz="4" w:space="0"/>
              <w:left w:val="single" w:color="auto" w:sz="8" w:space="0"/>
              <w:bottom w:val="single" w:color="auto" w:sz="8"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总分</w:t>
            </w:r>
          </w:p>
        </w:tc>
        <w:tc>
          <w:tcPr>
            <w:tcW w:w="640" w:type="dxa"/>
            <w:tcBorders>
              <w:top w:val="single" w:color="auto" w:sz="4" w:space="0"/>
              <w:left w:val="single" w:color="auto" w:sz="4" w:space="0"/>
              <w:bottom w:val="single" w:color="auto" w:sz="8" w:space="0"/>
              <w:right w:val="single" w:color="auto" w:sz="4"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100</w:t>
            </w:r>
          </w:p>
        </w:tc>
        <w:tc>
          <w:tcPr>
            <w:tcW w:w="830" w:type="dxa"/>
            <w:tcBorders>
              <w:top w:val="single" w:color="auto" w:sz="4" w:space="0"/>
              <w:left w:val="single" w:color="auto" w:sz="4" w:space="0"/>
              <w:bottom w:val="single" w:color="auto" w:sz="8" w:space="0"/>
              <w:right w:val="single" w:color="auto" w:sz="4" w:space="0"/>
              <w:tl2br w:val="nil"/>
              <w:tr2bl w:val="nil"/>
            </w:tcBorders>
            <w:vAlign w:val="center"/>
          </w:tcPr>
          <w:p>
            <w:pPr>
              <w:spacing w:beforeLines="0" w:afterLines="0" w:line="24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80</w:t>
            </w:r>
          </w:p>
        </w:tc>
        <w:tc>
          <w:tcPr>
            <w:tcW w:w="1347" w:type="dxa"/>
            <w:tcBorders>
              <w:top w:val="single" w:color="auto" w:sz="4" w:space="0"/>
              <w:left w:val="single" w:color="auto" w:sz="4" w:space="0"/>
              <w:bottom w:val="single" w:color="auto" w:sz="8" w:space="0"/>
              <w:right w:val="single" w:color="auto" w:sz="8" w:space="0"/>
              <w:tl2br w:val="nil"/>
              <w:tr2bl w:val="nil"/>
            </w:tcBorders>
            <w:vAlign w:val="center"/>
          </w:tcPr>
          <w:p>
            <w:pPr>
              <w:spacing w:beforeLines="0" w:afterLines="0" w:line="240" w:lineRule="exact"/>
              <w:jc w:val="center"/>
              <w:rPr>
                <w:rFonts w:hint="eastAsia" w:ascii="Times New Roman" w:hAnsi="Times New Roman" w:eastAsia="方正仿宋_GBK" w:cs="方正仿宋_GBK"/>
                <w:color w:val="auto"/>
                <w:sz w:val="20"/>
                <w:szCs w:val="20"/>
                <w:highlight w:val="none"/>
              </w:rPr>
            </w:pPr>
          </w:p>
        </w:tc>
      </w:tr>
    </w:tbl>
    <w:p>
      <w:pPr>
        <w:spacing w:before="360" w:beforeLines="150" w:after="360" w:afterLines="150" w:line="600" w:lineRule="exact"/>
        <w:jc w:val="center"/>
        <w:rPr>
          <w:rFonts w:hint="default" w:ascii="Times New Roman" w:hAnsi="Times New Roman" w:eastAsia="方正小标宋_GBK"/>
          <w:color w:val="auto"/>
          <w:sz w:val="44"/>
          <w:szCs w:val="44"/>
          <w:highlight w:val="none"/>
        </w:rPr>
      </w:pPr>
      <w:r>
        <w:rPr>
          <w:rFonts w:hint="default" w:ascii="Times New Roman" w:hAnsi="Times New Roman" w:eastAsia="方正小标宋_GBK"/>
          <w:color w:val="auto"/>
          <w:spacing w:val="-11"/>
          <w:sz w:val="44"/>
          <w:szCs w:val="44"/>
          <w:highlight w:val="none"/>
        </w:rPr>
        <w:t>202</w:t>
      </w:r>
      <w:r>
        <w:rPr>
          <w:rFonts w:hint="eastAsia" w:ascii="Times New Roman" w:hAnsi="Times New Roman" w:eastAsia="方正小标宋_GBK"/>
          <w:color w:val="auto"/>
          <w:spacing w:val="-11"/>
          <w:sz w:val="44"/>
          <w:szCs w:val="44"/>
          <w:highlight w:val="none"/>
        </w:rPr>
        <w:t>3年度项目支出绩效自评表（业务工作经费）</w:t>
      </w:r>
    </w:p>
    <w:p>
      <w:pPr>
        <w:pStyle w:val="2"/>
        <w:spacing w:beforeLines="0" w:afterLines="0"/>
        <w:rPr>
          <w:rFonts w:hint="eastAsia" w:ascii="宋体" w:hAnsi="宋体" w:cs="宋体"/>
          <w:sz w:val="21"/>
          <w:szCs w:val="21"/>
          <w:highlight w:val="none"/>
        </w:rPr>
      </w:pPr>
      <w:r>
        <w:rPr>
          <w:rFonts w:hint="eastAsia" w:ascii="宋体" w:hAnsi="宋体" w:cs="宋体"/>
          <w:sz w:val="21"/>
          <w:szCs w:val="21"/>
          <w:highlight w:val="none"/>
        </w:rPr>
        <w:t>填表人：庞桠文   填报日期：2024/3/28     联系电话：13574880456     单位负责人签字：</w:t>
      </w:r>
    </w:p>
    <w:p>
      <w:pPr>
        <w:spacing w:before="104" w:beforeLines="0" w:afterLines="0" w:line="425" w:lineRule="exact"/>
        <w:ind w:left="69"/>
        <w:rPr>
          <w:rFonts w:hint="default" w:ascii="Times New Roman" w:hAnsi="Times New Roman" w:eastAsia="方正黑体_GBK"/>
          <w:color w:val="auto"/>
          <w:sz w:val="32"/>
          <w:szCs w:val="32"/>
          <w:highlight w:val="none"/>
        </w:rPr>
      </w:pPr>
      <w:r>
        <w:rPr>
          <w:rFonts w:hint="eastAsia" w:ascii="Times New Roman" w:hAnsi="Times New Roman" w:eastAsia="方正黑体_GBK"/>
          <w:color w:val="auto"/>
          <w:sz w:val="32"/>
          <w:szCs w:val="32"/>
          <w:highlight w:val="none"/>
        </w:rPr>
        <w:t>附件5</w:t>
      </w:r>
    </w:p>
    <w:p>
      <w:pPr>
        <w:spacing w:before="360" w:beforeLines="150" w:after="360" w:afterLines="150" w:line="600" w:lineRule="exact"/>
        <w:jc w:val="center"/>
        <w:rPr>
          <w:rFonts w:hint="default" w:ascii="Times New Roman" w:hAnsi="Times New Roman" w:eastAsia="方正小标宋_GBK"/>
          <w:color w:val="auto"/>
          <w:sz w:val="44"/>
          <w:szCs w:val="44"/>
          <w:highlight w:val="none"/>
        </w:rPr>
      </w:pPr>
      <w:r>
        <w:rPr>
          <w:rFonts w:hint="default" w:ascii="Times New Roman" w:hAnsi="Times New Roman" w:eastAsia="方正小标宋_GBK"/>
          <w:color w:val="auto"/>
          <w:spacing w:val="-11"/>
          <w:sz w:val="44"/>
          <w:szCs w:val="44"/>
          <w:highlight w:val="none"/>
        </w:rPr>
        <w:t>202</w:t>
      </w:r>
      <w:r>
        <w:rPr>
          <w:rFonts w:hint="eastAsia" w:ascii="Times New Roman" w:hAnsi="Times New Roman" w:eastAsia="方正小标宋_GBK"/>
          <w:color w:val="auto"/>
          <w:spacing w:val="-11"/>
          <w:sz w:val="44"/>
          <w:szCs w:val="44"/>
          <w:highlight w:val="none"/>
        </w:rPr>
        <w:t>3年度项目支出绩效自评表（运行维护专项）</w:t>
      </w:r>
    </w:p>
    <w:tbl>
      <w:tblPr>
        <w:tblStyle w:val="9"/>
        <w:tblW w:w="935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1024"/>
        <w:gridCol w:w="1025"/>
        <w:gridCol w:w="908"/>
        <w:gridCol w:w="1299"/>
        <w:gridCol w:w="1064"/>
        <w:gridCol w:w="1216"/>
        <w:gridCol w:w="640"/>
        <w:gridCol w:w="830"/>
        <w:gridCol w:w="134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90" w:hRule="atLeast"/>
          <w:jc w:val="center"/>
        </w:trPr>
        <w:tc>
          <w:tcPr>
            <w:tcW w:w="2957" w:type="dxa"/>
            <w:gridSpan w:val="3"/>
            <w:tcBorders>
              <w:top w:val="single" w:color="auto" w:sz="8"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项目支出名称</w:t>
            </w:r>
          </w:p>
        </w:tc>
        <w:tc>
          <w:tcPr>
            <w:tcW w:w="6397" w:type="dxa"/>
            <w:gridSpan w:val="6"/>
            <w:tcBorders>
              <w:top w:val="single" w:color="auto" w:sz="8"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设备购置费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9" w:hRule="atLeast"/>
          <w:jc w:val="center"/>
        </w:trPr>
        <w:tc>
          <w:tcPr>
            <w:tcW w:w="1024" w:type="dxa"/>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主管部门</w:t>
            </w:r>
          </w:p>
        </w:tc>
        <w:tc>
          <w:tcPr>
            <w:tcW w:w="4296" w:type="dxa"/>
            <w:gridSpan w:val="4"/>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湖南省市场监督管理局</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实施单位</w:t>
            </w:r>
          </w:p>
        </w:tc>
        <w:tc>
          <w:tcPr>
            <w:tcW w:w="2818" w:type="dxa"/>
            <w:gridSpan w:val="3"/>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湖南省市场监管事务中心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9" w:hRule="atLeast"/>
          <w:jc w:val="center"/>
        </w:trPr>
        <w:tc>
          <w:tcPr>
            <w:tcW w:w="1024" w:type="dxa"/>
            <w:vMerge w:val="restart"/>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项目资金</w:t>
            </w:r>
            <w:r>
              <w:rPr>
                <w:rFonts w:hint="eastAsia" w:ascii="Times New Roman" w:hAnsi="Times New Roman" w:eastAsia="方正仿宋_GBK" w:cs="方正仿宋_GBK"/>
                <w:color w:val="auto"/>
                <w:sz w:val="20"/>
                <w:szCs w:val="20"/>
                <w:highlight w:val="none"/>
              </w:rPr>
              <w:br w:type="textWrapping"/>
            </w:r>
            <w:r>
              <w:rPr>
                <w:rFonts w:hint="eastAsia" w:ascii="Times New Roman" w:hAnsi="Times New Roman" w:eastAsia="方正仿宋_GBK" w:cs="方正仿宋_GBK"/>
                <w:color w:val="auto"/>
                <w:sz w:val="20"/>
                <w:szCs w:val="20"/>
                <w:highlight w:val="none"/>
              </w:rPr>
              <w:t>（万元）</w:t>
            </w:r>
          </w:p>
        </w:tc>
        <w:tc>
          <w:tcPr>
            <w:tcW w:w="193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年初预算数</w:t>
            </w: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全年预算数</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全年执行数</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分值</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执行率</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自评得分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9" w:hRule="atLeast"/>
          <w:jc w:val="center"/>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93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年度资金总额</w:t>
            </w: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37.2</w:t>
            </w: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37.2</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34.76</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93.44%</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9" w:hRule="atLeast"/>
          <w:jc w:val="center"/>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93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其中：当年财政拨款</w:t>
            </w: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37.2</w:t>
            </w: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37.2</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9" w:hRule="atLeast"/>
          <w:jc w:val="center"/>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93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ind w:firstLine="600" w:firstLineChars="300"/>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上年结转资金</w:t>
            </w: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9" w:hRule="atLeast"/>
          <w:jc w:val="center"/>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93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ind w:firstLine="600" w:firstLineChars="300"/>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其他资金</w:t>
            </w: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9" w:hRule="atLeast"/>
          <w:jc w:val="center"/>
        </w:trPr>
        <w:tc>
          <w:tcPr>
            <w:tcW w:w="1024" w:type="dxa"/>
            <w:vMerge w:val="restart"/>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年度总体目标</w:t>
            </w:r>
          </w:p>
        </w:tc>
        <w:tc>
          <w:tcPr>
            <w:tcW w:w="4296" w:type="dxa"/>
            <w:gridSpan w:val="4"/>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预期目标</w:t>
            </w:r>
          </w:p>
        </w:tc>
        <w:tc>
          <w:tcPr>
            <w:tcW w:w="4034" w:type="dxa"/>
            <w:gridSpan w:val="4"/>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实际完成情况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5" w:hRule="atLeast"/>
          <w:jc w:val="center"/>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4296" w:type="dxa"/>
            <w:gridSpan w:val="4"/>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完成公务用车采购1台，办公设备采购</w:t>
            </w:r>
            <w:r>
              <w:rPr>
                <w:rFonts w:hint="eastAsia" w:ascii="仿宋" w:hAnsi="仿宋" w:eastAsia="仿宋" w:cs="仿宋"/>
                <w:color w:val="000000"/>
                <w:kern w:val="0"/>
                <w:sz w:val="18"/>
                <w:szCs w:val="18"/>
                <w:highlight w:val="none"/>
              </w:rPr>
              <w:t>≥</w:t>
            </w:r>
            <w:r>
              <w:rPr>
                <w:rFonts w:hint="eastAsia" w:ascii="Times New Roman" w:hAnsi="Times New Roman" w:eastAsia="方正仿宋_GBK" w:cs="方正仿宋_GBK"/>
                <w:color w:val="auto"/>
                <w:sz w:val="20"/>
                <w:szCs w:val="20"/>
                <w:highlight w:val="none"/>
              </w:rPr>
              <w:t>1台，办公家俱采购</w:t>
            </w:r>
            <w:r>
              <w:rPr>
                <w:rFonts w:hint="eastAsia" w:ascii="仿宋" w:hAnsi="仿宋" w:eastAsia="仿宋" w:cs="仿宋"/>
                <w:color w:val="000000"/>
                <w:kern w:val="0"/>
                <w:sz w:val="18"/>
                <w:szCs w:val="18"/>
                <w:highlight w:val="none"/>
              </w:rPr>
              <w:t>≥</w:t>
            </w:r>
            <w:r>
              <w:rPr>
                <w:rFonts w:hint="eastAsia" w:ascii="Times New Roman" w:hAnsi="Times New Roman" w:eastAsia="方正仿宋_GBK" w:cs="方正仿宋_GBK"/>
                <w:color w:val="auto"/>
                <w:sz w:val="20"/>
                <w:szCs w:val="20"/>
                <w:highlight w:val="none"/>
              </w:rPr>
              <w:t>7件。</w:t>
            </w:r>
          </w:p>
        </w:tc>
        <w:tc>
          <w:tcPr>
            <w:tcW w:w="4034" w:type="dxa"/>
            <w:gridSpan w:val="4"/>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完成公务用车采购1台，办公设备采购2台，办公家俱采购4批。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27" w:hRule="atLeast"/>
          <w:jc w:val="center"/>
        </w:trPr>
        <w:tc>
          <w:tcPr>
            <w:tcW w:w="1024" w:type="dxa"/>
            <w:vMerge w:val="restart"/>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绩</w:t>
            </w:r>
          </w:p>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效</w:t>
            </w:r>
          </w:p>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指</w:t>
            </w:r>
          </w:p>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标</w:t>
            </w:r>
          </w:p>
        </w:tc>
        <w:tc>
          <w:tcPr>
            <w:tcW w:w="1025"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一级指标</w:t>
            </w:r>
          </w:p>
        </w:tc>
        <w:tc>
          <w:tcPr>
            <w:tcW w:w="908"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二级指标</w:t>
            </w: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三级指标</w:t>
            </w: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年度</w:t>
            </w:r>
          </w:p>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指标值</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实际</w:t>
            </w:r>
          </w:p>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完成值</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分值</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16"/>
                <w:szCs w:val="16"/>
                <w:highlight w:val="none"/>
              </w:rPr>
              <w:t>自评得分</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偏差原因分析及改进措施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7" w:hRule="atLeast"/>
          <w:jc w:val="center"/>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025"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产出指标</w:t>
            </w:r>
          </w:p>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（50分）</w:t>
            </w:r>
          </w:p>
        </w:tc>
        <w:tc>
          <w:tcPr>
            <w:tcW w:w="908"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数量指标</w:t>
            </w: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购置公务用车</w:t>
            </w:r>
          </w:p>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 xml:space="preserve">    </w:t>
            </w: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1台</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1台</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7" w:hRule="atLeast"/>
          <w:jc w:val="center"/>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908"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方正仿宋_GBK" w:hAnsi="方正仿宋_GBK" w:eastAsia="方正仿宋_GBK" w:cs="方正仿宋_GBK"/>
                <w:sz w:val="20"/>
                <w:szCs w:val="20"/>
                <w:highlight w:val="none"/>
              </w:rPr>
            </w:pPr>
            <w:r>
              <w:rPr>
                <w:rFonts w:hint="eastAsia" w:ascii="方正仿宋_GBK" w:hAnsi="方正仿宋_GBK" w:eastAsia="方正仿宋_GBK" w:cs="方正仿宋_GBK"/>
                <w:sz w:val="20"/>
                <w:szCs w:val="20"/>
                <w:highlight w:val="none"/>
              </w:rPr>
              <w:t>办公设备采购</w:t>
            </w:r>
          </w:p>
          <w:p>
            <w:pPr>
              <w:pStyle w:val="2"/>
              <w:spacing w:beforeLines="0" w:afterLines="0"/>
              <w:rPr>
                <w:rFonts w:hint="eastAsia" w:ascii="方正仿宋_GBK" w:hAnsi="方正仿宋_GBK" w:eastAsia="方正仿宋_GBK" w:cs="方正仿宋_GBK"/>
                <w:sz w:val="20"/>
                <w:szCs w:val="20"/>
                <w:highlight w:val="none"/>
              </w:rPr>
            </w:pP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仿宋" w:hAnsi="仿宋" w:eastAsia="仿宋" w:cs="仿宋"/>
                <w:color w:val="000000"/>
                <w:kern w:val="0"/>
                <w:sz w:val="18"/>
                <w:szCs w:val="18"/>
                <w:highlight w:val="none"/>
              </w:rPr>
              <w:t>≥</w:t>
            </w:r>
            <w:r>
              <w:rPr>
                <w:rFonts w:hint="eastAsia" w:ascii="Times New Roman" w:hAnsi="Times New Roman" w:eastAsia="方正仿宋_GBK" w:cs="方正仿宋_GBK"/>
                <w:color w:val="auto"/>
                <w:sz w:val="20"/>
                <w:szCs w:val="20"/>
                <w:highlight w:val="none"/>
              </w:rPr>
              <w:t>1台</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2台</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439" w:hRule="atLeast"/>
          <w:jc w:val="center"/>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908"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方正仿宋_GBK" w:hAnsi="方正仿宋_GBK" w:eastAsia="方正仿宋_GBK" w:cs="方正仿宋_GBK"/>
                <w:sz w:val="20"/>
                <w:szCs w:val="20"/>
                <w:highlight w:val="none"/>
              </w:rPr>
            </w:pPr>
            <w:r>
              <w:rPr>
                <w:rFonts w:hint="eastAsia" w:ascii="方正仿宋_GBK" w:hAnsi="方正仿宋_GBK" w:eastAsia="方正仿宋_GBK" w:cs="方正仿宋_GBK"/>
                <w:sz w:val="20"/>
                <w:szCs w:val="20"/>
                <w:highlight w:val="none"/>
              </w:rPr>
              <w:t>办公家俱采购</w:t>
            </w: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仿宋" w:hAnsi="仿宋" w:eastAsia="仿宋" w:cs="仿宋"/>
                <w:color w:val="000000"/>
                <w:kern w:val="0"/>
                <w:sz w:val="18"/>
                <w:szCs w:val="18"/>
                <w:highlight w:val="none"/>
              </w:rPr>
              <w:t>≥7件</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4批</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5</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5</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7" w:hRule="atLeast"/>
          <w:jc w:val="center"/>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908"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质量指标</w:t>
            </w: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采购验收合格率</w:t>
            </w: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100%</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100%</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7" w:hRule="atLeast"/>
          <w:jc w:val="center"/>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908"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时效指标</w:t>
            </w: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采购完成时间</w:t>
            </w: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2023年12月31日以前完成</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2023年12月31日以前完成</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5</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5</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7" w:hRule="atLeast"/>
          <w:jc w:val="center"/>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908"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成本指标</w:t>
            </w: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购置公务用车成本</w:t>
            </w: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仿宋" w:hAnsi="仿宋" w:eastAsia="仿宋" w:cs="仿宋"/>
                <w:color w:val="000000"/>
                <w:kern w:val="0"/>
                <w:sz w:val="18"/>
                <w:szCs w:val="18"/>
                <w:highlight w:val="none"/>
              </w:rPr>
              <w:t>≤27.2万</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仿宋" w:hAnsi="仿宋" w:eastAsia="仿宋" w:cs="仿宋"/>
                <w:color w:val="000000"/>
                <w:kern w:val="0"/>
                <w:sz w:val="18"/>
                <w:szCs w:val="18"/>
                <w:highlight w:val="none"/>
              </w:rPr>
              <w:t>24.98万</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5</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5</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57" w:hRule="atLeast"/>
          <w:jc w:val="center"/>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908"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购置办公设备成本</w:t>
            </w: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仿宋" w:hAnsi="仿宋" w:eastAsia="仿宋" w:cs="仿宋"/>
                <w:color w:val="000000"/>
                <w:kern w:val="0"/>
                <w:sz w:val="18"/>
                <w:szCs w:val="18"/>
                <w:highlight w:val="none"/>
              </w:rPr>
              <w:t>≤10万</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仿宋" w:hAnsi="仿宋" w:eastAsia="仿宋" w:cs="仿宋"/>
                <w:color w:val="000000"/>
                <w:kern w:val="0"/>
                <w:sz w:val="18"/>
                <w:szCs w:val="18"/>
                <w:highlight w:val="none"/>
              </w:rPr>
              <w:t>9.78万</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5</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5</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78" w:hRule="atLeast"/>
          <w:jc w:val="center"/>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025"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效益指标</w:t>
            </w:r>
          </w:p>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（30分）</w:t>
            </w:r>
          </w:p>
        </w:tc>
        <w:tc>
          <w:tcPr>
            <w:tcW w:w="908"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经济效</w:t>
            </w:r>
          </w:p>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益指标</w:t>
            </w: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rPr>
                <w:rFonts w:hint="eastAsia" w:ascii="Times New Roman" w:hAnsi="Times New Roman" w:eastAsia="方正仿宋_GBK" w:cs="方正仿宋_GBK"/>
                <w:color w:val="auto"/>
                <w:sz w:val="20"/>
                <w:szCs w:val="20"/>
                <w:highlight w:val="none"/>
              </w:rPr>
            </w:pP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55" w:hRule="atLeast"/>
          <w:jc w:val="center"/>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908"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社会效</w:t>
            </w:r>
          </w:p>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益指标</w:t>
            </w: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rPr>
                <w:rFonts w:hint="eastAsia" w:ascii="Times New Roman" w:hAnsi="Times New Roman" w:eastAsia="方正仿宋_GBK" w:cs="方正仿宋_GBK"/>
                <w:color w:val="auto"/>
                <w:sz w:val="20"/>
                <w:szCs w:val="20"/>
                <w:highlight w:val="none"/>
              </w:rPr>
            </w:pP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41" w:hRule="atLeast"/>
          <w:jc w:val="center"/>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908"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生态效</w:t>
            </w:r>
          </w:p>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益指标</w:t>
            </w: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rPr>
                <w:rFonts w:hint="eastAsia" w:ascii="Times New Roman" w:hAnsi="Times New Roman" w:eastAsia="方正仿宋_GBK" w:cs="方正仿宋_GBK"/>
                <w:color w:val="auto"/>
                <w:sz w:val="20"/>
                <w:szCs w:val="20"/>
                <w:highlight w:val="none"/>
              </w:rPr>
            </w:pP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0</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908"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可持续影响指标</w:t>
            </w: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保证机关工作运转</w:t>
            </w: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平稳有力</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平稳有力</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34" w:hRule="atLeast"/>
          <w:jc w:val="center"/>
        </w:trPr>
        <w:tc>
          <w:tcPr>
            <w:tcW w:w="1024"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c>
          <w:tcPr>
            <w:tcW w:w="1025"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满意度</w:t>
            </w:r>
          </w:p>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指标</w:t>
            </w:r>
          </w:p>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（10分）</w:t>
            </w:r>
          </w:p>
        </w:tc>
        <w:tc>
          <w:tcPr>
            <w:tcW w:w="908"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服务对象满意度指标</w:t>
            </w:r>
          </w:p>
        </w:tc>
        <w:tc>
          <w:tcPr>
            <w:tcW w:w="129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rPr>
                <w:rFonts w:hint="eastAsia" w:ascii="Times New Roman" w:hAnsi="Times New Roman" w:eastAsia="方正仿宋_GBK" w:cs="方正仿宋_GBK"/>
                <w:color w:val="auto"/>
                <w:sz w:val="20"/>
                <w:szCs w:val="20"/>
                <w:highlight w:val="none"/>
              </w:rPr>
            </w:pPr>
            <w:r>
              <w:rPr>
                <w:rFonts w:hint="eastAsia" w:ascii="仿宋" w:hAnsi="仿宋" w:eastAsia="仿宋" w:cs="仿宋"/>
                <w:color w:val="000000"/>
                <w:kern w:val="0"/>
                <w:sz w:val="20"/>
                <w:szCs w:val="20"/>
                <w:highlight w:val="none"/>
              </w:rPr>
              <w:t>事务中心服务对象满意度</w:t>
            </w:r>
          </w:p>
        </w:tc>
        <w:tc>
          <w:tcPr>
            <w:tcW w:w="1064"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18"/>
                <w:szCs w:val="18"/>
                <w:highlight w:val="none"/>
              </w:rPr>
            </w:pPr>
            <w:r>
              <w:rPr>
                <w:rFonts w:hint="eastAsia" w:ascii="仿宋" w:hAnsi="仿宋" w:eastAsia="仿宋" w:cs="仿宋"/>
                <w:color w:val="000000"/>
                <w:kern w:val="0"/>
                <w:sz w:val="18"/>
                <w:szCs w:val="18"/>
                <w:highlight w:val="none"/>
              </w:rPr>
              <w:t>≥90%</w:t>
            </w:r>
          </w:p>
        </w:tc>
        <w:tc>
          <w:tcPr>
            <w:tcW w:w="1216"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240" w:lineRule="exact"/>
              <w:jc w:val="center"/>
              <w:rPr>
                <w:rFonts w:hint="eastAsia" w:ascii="仿宋" w:hAnsi="仿宋" w:eastAsia="仿宋" w:cs="仿宋"/>
                <w:color w:val="000000"/>
                <w:kern w:val="0"/>
                <w:sz w:val="18"/>
                <w:szCs w:val="18"/>
                <w:highlight w:val="none"/>
              </w:rPr>
            </w:pPr>
            <w:r>
              <w:rPr>
                <w:rFonts w:hint="eastAsia" w:ascii="仿宋" w:hAnsi="仿宋" w:eastAsia="仿宋" w:cs="仿宋"/>
                <w:color w:val="000000"/>
                <w:kern w:val="0"/>
                <w:sz w:val="18"/>
                <w:szCs w:val="18"/>
                <w:highlight w:val="none"/>
              </w:rPr>
              <w:t>90%</w:t>
            </w:r>
          </w:p>
        </w:tc>
        <w:tc>
          <w:tcPr>
            <w:tcW w:w="64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83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w:t>
            </w:r>
          </w:p>
        </w:tc>
        <w:tc>
          <w:tcPr>
            <w:tcW w:w="1348"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00" w:hRule="atLeast"/>
          <w:jc w:val="center"/>
        </w:trPr>
        <w:tc>
          <w:tcPr>
            <w:tcW w:w="6536" w:type="dxa"/>
            <w:gridSpan w:val="6"/>
            <w:tcBorders>
              <w:top w:val="single" w:color="auto" w:sz="4" w:space="0"/>
              <w:left w:val="single" w:color="auto" w:sz="8" w:space="0"/>
              <w:bottom w:val="single" w:color="auto" w:sz="8"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总分</w:t>
            </w:r>
          </w:p>
        </w:tc>
        <w:tc>
          <w:tcPr>
            <w:tcW w:w="640" w:type="dxa"/>
            <w:tcBorders>
              <w:top w:val="single" w:color="auto" w:sz="4" w:space="0"/>
              <w:left w:val="single" w:color="auto" w:sz="4" w:space="0"/>
              <w:bottom w:val="single" w:color="auto" w:sz="8" w:space="0"/>
              <w:right w:val="single" w:color="auto" w:sz="4"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100</w:t>
            </w:r>
          </w:p>
        </w:tc>
        <w:tc>
          <w:tcPr>
            <w:tcW w:w="830" w:type="dxa"/>
            <w:tcBorders>
              <w:top w:val="single" w:color="auto" w:sz="4" w:space="0"/>
              <w:left w:val="single" w:color="auto" w:sz="4" w:space="0"/>
              <w:bottom w:val="single" w:color="auto" w:sz="8" w:space="0"/>
              <w:right w:val="single" w:color="auto" w:sz="4" w:space="0"/>
              <w:tl2br w:val="nil"/>
              <w:tr2bl w:val="nil"/>
            </w:tcBorders>
            <w:vAlign w:val="center"/>
          </w:tcPr>
          <w:p>
            <w:pPr>
              <w:spacing w:beforeLines="0" w:afterLines="0" w:line="260" w:lineRule="exact"/>
              <w:jc w:val="center"/>
              <w:rPr>
                <w:rFonts w:hint="default"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79</w:t>
            </w:r>
          </w:p>
        </w:tc>
        <w:tc>
          <w:tcPr>
            <w:tcW w:w="1348" w:type="dxa"/>
            <w:tcBorders>
              <w:top w:val="single" w:color="auto" w:sz="4" w:space="0"/>
              <w:left w:val="single" w:color="auto" w:sz="4" w:space="0"/>
              <w:bottom w:val="single" w:color="auto" w:sz="8" w:space="0"/>
              <w:right w:val="single" w:color="auto" w:sz="8" w:space="0"/>
              <w:tl2br w:val="nil"/>
              <w:tr2bl w:val="nil"/>
            </w:tcBorders>
            <w:vAlign w:val="center"/>
          </w:tcPr>
          <w:p>
            <w:pPr>
              <w:spacing w:beforeLines="0" w:afterLines="0" w:line="260" w:lineRule="exact"/>
              <w:jc w:val="center"/>
              <w:rPr>
                <w:rFonts w:hint="eastAsia" w:ascii="Times New Roman" w:hAnsi="Times New Roman" w:eastAsia="方正仿宋_GBK" w:cs="方正仿宋_GBK"/>
                <w:color w:val="auto"/>
                <w:sz w:val="20"/>
                <w:szCs w:val="20"/>
                <w:highlight w:val="none"/>
              </w:rPr>
            </w:pPr>
          </w:p>
        </w:tc>
      </w:tr>
    </w:tbl>
    <w:p>
      <w:pPr>
        <w:pStyle w:val="2"/>
        <w:spacing w:beforeLines="0" w:afterLines="0"/>
        <w:rPr>
          <w:rFonts w:hint="eastAsia" w:ascii="宋体" w:hAnsi="宋体" w:cs="宋体"/>
          <w:sz w:val="22"/>
          <w:szCs w:val="20"/>
          <w:highlight w:val="none"/>
        </w:rPr>
      </w:pPr>
      <w:r>
        <w:rPr>
          <w:rFonts w:hint="eastAsia" w:ascii="宋体" w:hAnsi="宋体" w:cs="宋体"/>
          <w:sz w:val="22"/>
          <w:szCs w:val="20"/>
          <w:highlight w:val="none"/>
        </w:rPr>
        <w:t>填表人：庞桠文   填报日期：2024/3/28     联系电话：13574880456   单位负责人签字：</w:t>
      </w:r>
    </w:p>
    <w:p>
      <w:pPr>
        <w:topLinePunct/>
        <w:spacing w:beforeLines="0" w:afterLines="0" w:line="400" w:lineRule="exact"/>
        <w:rPr>
          <w:rFonts w:hint="eastAsia" w:ascii="方正仿宋_GBK" w:hAnsi="方正仿宋_GBK" w:eastAsia="方正仿宋_GBK" w:cs="方正仿宋_GBK"/>
          <w:color w:val="auto"/>
          <w:sz w:val="28"/>
          <w:szCs w:val="24"/>
          <w:highlight w:val="none"/>
        </w:rPr>
        <w:sectPr>
          <w:footerReference r:id="rId4" w:type="default"/>
          <w:pgSz w:w="11905" w:h="16840"/>
          <w:pgMar w:top="1984" w:right="1474" w:bottom="1474" w:left="1474" w:header="850" w:footer="1134" w:gutter="0"/>
          <w:lnNumType w:countBy="0" w:distance="360"/>
          <w:cols w:space="720" w:num="1"/>
          <w:docGrid w:type="linesAndChars" w:linePitch="312" w:charSpace="0"/>
        </w:sectPr>
      </w:pPr>
    </w:p>
    <w:p>
      <w:pPr>
        <w:spacing w:beforeLines="0" w:afterLines="0" w:line="600" w:lineRule="exact"/>
        <w:rPr>
          <w:rFonts w:hint="eastAsia" w:ascii="Times New Roman" w:hAnsi="Times New Roman" w:eastAsia="方正黑体_GBK"/>
          <w:color w:val="auto"/>
          <w:sz w:val="32"/>
          <w:szCs w:val="32"/>
          <w:highlight w:val="none"/>
        </w:rPr>
      </w:pPr>
      <w:r>
        <w:rPr>
          <w:rFonts w:hint="eastAsia" w:ascii="Times New Roman" w:hAnsi="Times New Roman" w:eastAsia="方正黑体_GBK"/>
          <w:color w:val="auto"/>
          <w:sz w:val="32"/>
          <w:szCs w:val="32"/>
          <w:highlight w:val="none"/>
        </w:rPr>
        <w:t>附件7</w:t>
      </w:r>
    </w:p>
    <w:p>
      <w:pPr>
        <w:spacing w:before="468" w:beforeLines="150" w:after="468" w:afterLines="150" w:line="600" w:lineRule="exact"/>
        <w:jc w:val="center"/>
        <w:rPr>
          <w:rFonts w:hint="eastAsia" w:ascii="Times New Roman" w:hAnsi="Times New Roman" w:eastAsia="方正小标宋_GBK"/>
          <w:color w:val="auto"/>
          <w:sz w:val="44"/>
          <w:szCs w:val="44"/>
          <w:highlight w:val="none"/>
        </w:rPr>
      </w:pPr>
      <w:r>
        <w:rPr>
          <w:rFonts w:hint="eastAsia" w:ascii="Times New Roman" w:hAnsi="Times New Roman" w:eastAsia="方正小标宋_GBK"/>
          <w:color w:val="auto"/>
          <w:sz w:val="44"/>
          <w:szCs w:val="44"/>
          <w:highlight w:val="none"/>
        </w:rPr>
        <w:t>各类支出标准体系建设情况表</w:t>
      </w:r>
    </w:p>
    <w:tbl>
      <w:tblPr>
        <w:tblStyle w:val="9"/>
        <w:tblW w:w="1417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98"/>
        <w:gridCol w:w="2137"/>
        <w:gridCol w:w="1657"/>
        <w:gridCol w:w="1897"/>
        <w:gridCol w:w="1897"/>
        <w:gridCol w:w="1701"/>
        <w:gridCol w:w="2094"/>
        <w:gridCol w:w="19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8" w:type="dxa"/>
            <w:tcBorders>
              <w:top w:val="single" w:color="auto" w:sz="8" w:space="0"/>
              <w:left w:val="single" w:color="auto" w:sz="8" w:space="0"/>
              <w:bottom w:val="single" w:color="auto" w:sz="4" w:space="0"/>
              <w:right w:val="single" w:color="auto" w:sz="4" w:space="0"/>
              <w:tl2br w:val="nil"/>
              <w:tr2bl w:val="nil"/>
            </w:tcBorders>
            <w:vAlign w:val="center"/>
          </w:tcPr>
          <w:p>
            <w:pPr>
              <w:widowControl/>
              <w:spacing w:beforeLines="0" w:afterLines="0" w:line="30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序号</w:t>
            </w:r>
          </w:p>
        </w:tc>
        <w:tc>
          <w:tcPr>
            <w:tcW w:w="2137" w:type="dxa"/>
            <w:tcBorders>
              <w:top w:val="single" w:color="auto" w:sz="8" w:space="0"/>
              <w:left w:val="single" w:color="auto" w:sz="4" w:space="0"/>
              <w:bottom w:val="single" w:color="auto" w:sz="4" w:space="0"/>
              <w:right w:val="single" w:color="auto" w:sz="4" w:space="0"/>
              <w:tl2br w:val="nil"/>
              <w:tr2bl w:val="nil"/>
            </w:tcBorders>
            <w:vAlign w:val="center"/>
          </w:tcPr>
          <w:p>
            <w:pPr>
              <w:widowControl/>
              <w:spacing w:beforeLines="0" w:afterLines="0" w:line="30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标准制定单位名称</w:t>
            </w:r>
          </w:p>
        </w:tc>
        <w:tc>
          <w:tcPr>
            <w:tcW w:w="1657" w:type="dxa"/>
            <w:tcBorders>
              <w:top w:val="single" w:color="auto" w:sz="8"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支出标准</w:t>
            </w:r>
          </w:p>
        </w:tc>
        <w:tc>
          <w:tcPr>
            <w:tcW w:w="1897" w:type="dxa"/>
            <w:tcBorders>
              <w:top w:val="single" w:color="auto" w:sz="8"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标准文件名</w:t>
            </w:r>
          </w:p>
        </w:tc>
        <w:tc>
          <w:tcPr>
            <w:tcW w:w="1897" w:type="dxa"/>
            <w:tcBorders>
              <w:top w:val="single" w:color="auto" w:sz="8"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center"/>
              <w:rPr>
                <w:rFonts w:hint="eastAsia" w:ascii="Times New Roman" w:hAnsi="Times New Roman" w:eastAsia="方正仿宋_GBK" w:cs="方正仿宋_GBK"/>
                <w:b/>
                <w:color w:val="auto"/>
                <w:sz w:val="32"/>
                <w:szCs w:val="32"/>
                <w:highlight w:val="none"/>
              </w:rPr>
            </w:pPr>
            <w:r>
              <w:rPr>
                <w:rFonts w:hint="eastAsia" w:ascii="Times New Roman" w:hAnsi="Times New Roman" w:eastAsia="方正仿宋_GBK" w:cs="方正仿宋_GBK"/>
                <w:b/>
                <w:color w:val="auto"/>
                <w:sz w:val="28"/>
                <w:szCs w:val="24"/>
                <w:highlight w:val="none"/>
              </w:rPr>
              <w:t>标准发布时间</w:t>
            </w:r>
          </w:p>
        </w:tc>
        <w:tc>
          <w:tcPr>
            <w:tcW w:w="1701" w:type="dxa"/>
            <w:tcBorders>
              <w:top w:val="single" w:color="auto" w:sz="8"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标准文号</w:t>
            </w:r>
          </w:p>
        </w:tc>
        <w:tc>
          <w:tcPr>
            <w:tcW w:w="2094" w:type="dxa"/>
            <w:tcBorders>
              <w:top w:val="single" w:color="auto" w:sz="8"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center"/>
              <w:rPr>
                <w:rFonts w:hint="eastAsia" w:ascii="Times New Roman" w:hAnsi="Times New Roman" w:eastAsia="方正仿宋_GBK" w:cs="方正仿宋_GBK"/>
                <w:b/>
                <w:color w:val="auto"/>
                <w:sz w:val="32"/>
                <w:szCs w:val="32"/>
                <w:highlight w:val="none"/>
              </w:rPr>
            </w:pPr>
            <w:r>
              <w:rPr>
                <w:rFonts w:hint="eastAsia" w:ascii="Times New Roman" w:hAnsi="Times New Roman" w:eastAsia="方正仿宋_GBK" w:cs="方正仿宋_GBK"/>
                <w:b/>
                <w:color w:val="auto"/>
                <w:sz w:val="28"/>
                <w:szCs w:val="24"/>
                <w:highlight w:val="none"/>
              </w:rPr>
              <w:t>标准相关条款</w:t>
            </w:r>
          </w:p>
        </w:tc>
        <w:tc>
          <w:tcPr>
            <w:tcW w:w="1992" w:type="dxa"/>
            <w:tcBorders>
              <w:top w:val="single" w:color="auto" w:sz="8" w:space="0"/>
              <w:left w:val="single" w:color="auto" w:sz="4" w:space="0"/>
              <w:bottom w:val="single" w:color="auto" w:sz="4" w:space="0"/>
              <w:right w:val="single" w:color="auto" w:sz="8" w:space="0"/>
              <w:tl2br w:val="nil"/>
              <w:tr2bl w:val="nil"/>
            </w:tcBorders>
            <w:vAlign w:val="top"/>
          </w:tcPr>
          <w:p>
            <w:pPr>
              <w:widowControl/>
              <w:spacing w:beforeLines="0" w:afterLines="0" w:line="40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标准制定依据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8" w:type="dxa"/>
            <w:tcBorders>
              <w:top w:val="single" w:color="auto" w:sz="4" w:space="0"/>
              <w:left w:val="single" w:color="auto" w:sz="8"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213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65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8"/>
                <w:szCs w:val="28"/>
                <w:highlight w:val="none"/>
              </w:rPr>
              <w:t>无</w:t>
            </w:r>
          </w:p>
        </w:tc>
        <w:tc>
          <w:tcPr>
            <w:tcW w:w="189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89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701"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2094"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992" w:type="dxa"/>
            <w:tcBorders>
              <w:top w:val="single" w:color="auto" w:sz="4" w:space="0"/>
              <w:left w:val="single" w:color="auto" w:sz="4" w:space="0"/>
              <w:bottom w:val="single" w:color="auto" w:sz="4" w:space="0"/>
              <w:right w:val="single" w:color="auto" w:sz="8"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8" w:type="dxa"/>
            <w:tcBorders>
              <w:top w:val="single" w:color="auto" w:sz="4" w:space="0"/>
              <w:left w:val="single" w:color="auto" w:sz="8"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213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65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89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89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701"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2094"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992" w:type="dxa"/>
            <w:tcBorders>
              <w:top w:val="single" w:color="auto" w:sz="4" w:space="0"/>
              <w:left w:val="single" w:color="auto" w:sz="4" w:space="0"/>
              <w:bottom w:val="single" w:color="auto" w:sz="4" w:space="0"/>
              <w:right w:val="single" w:color="auto" w:sz="8"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8" w:type="dxa"/>
            <w:tcBorders>
              <w:top w:val="single" w:color="auto" w:sz="4" w:space="0"/>
              <w:left w:val="single" w:color="auto" w:sz="8"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213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65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89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89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701"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2094"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992" w:type="dxa"/>
            <w:tcBorders>
              <w:top w:val="single" w:color="auto" w:sz="4" w:space="0"/>
              <w:left w:val="single" w:color="auto" w:sz="4" w:space="0"/>
              <w:bottom w:val="single" w:color="auto" w:sz="4" w:space="0"/>
              <w:right w:val="single" w:color="auto" w:sz="8"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8" w:type="dxa"/>
            <w:tcBorders>
              <w:top w:val="single" w:color="auto" w:sz="4" w:space="0"/>
              <w:left w:val="single" w:color="auto" w:sz="8"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213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65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89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89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701"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2094"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992" w:type="dxa"/>
            <w:tcBorders>
              <w:top w:val="single" w:color="auto" w:sz="4" w:space="0"/>
              <w:left w:val="single" w:color="auto" w:sz="4" w:space="0"/>
              <w:bottom w:val="single" w:color="auto" w:sz="4" w:space="0"/>
              <w:right w:val="single" w:color="auto" w:sz="8"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8" w:type="dxa"/>
            <w:tcBorders>
              <w:top w:val="single" w:color="auto" w:sz="4" w:space="0"/>
              <w:left w:val="single" w:color="auto" w:sz="8"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213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65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89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89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701"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2094"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992" w:type="dxa"/>
            <w:tcBorders>
              <w:top w:val="single" w:color="auto" w:sz="4" w:space="0"/>
              <w:left w:val="single" w:color="auto" w:sz="4" w:space="0"/>
              <w:bottom w:val="single" w:color="auto" w:sz="4" w:space="0"/>
              <w:right w:val="single" w:color="auto" w:sz="8"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8" w:type="dxa"/>
            <w:tcBorders>
              <w:top w:val="single" w:color="auto" w:sz="4" w:space="0"/>
              <w:left w:val="single" w:color="auto" w:sz="8"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213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65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89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897"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701"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2094" w:type="dxa"/>
            <w:tcBorders>
              <w:top w:val="single" w:color="auto" w:sz="4" w:space="0"/>
              <w:left w:val="single" w:color="auto" w:sz="4" w:space="0"/>
              <w:bottom w:val="single" w:color="auto" w:sz="4"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992" w:type="dxa"/>
            <w:tcBorders>
              <w:top w:val="single" w:color="auto" w:sz="4" w:space="0"/>
              <w:left w:val="single" w:color="auto" w:sz="4" w:space="0"/>
              <w:bottom w:val="single" w:color="auto" w:sz="4" w:space="0"/>
              <w:right w:val="single" w:color="auto" w:sz="8"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8" w:type="dxa"/>
            <w:tcBorders>
              <w:top w:val="single" w:color="auto" w:sz="4" w:space="0"/>
              <w:left w:val="single" w:color="auto" w:sz="8" w:space="0"/>
              <w:bottom w:val="single" w:color="auto" w:sz="8"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2137" w:type="dxa"/>
            <w:tcBorders>
              <w:top w:val="single" w:color="auto" w:sz="4" w:space="0"/>
              <w:left w:val="single" w:color="auto" w:sz="4" w:space="0"/>
              <w:bottom w:val="single" w:color="auto" w:sz="8"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657" w:type="dxa"/>
            <w:tcBorders>
              <w:top w:val="single" w:color="auto" w:sz="4" w:space="0"/>
              <w:left w:val="single" w:color="auto" w:sz="4" w:space="0"/>
              <w:bottom w:val="single" w:color="auto" w:sz="8"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897" w:type="dxa"/>
            <w:tcBorders>
              <w:top w:val="single" w:color="auto" w:sz="4" w:space="0"/>
              <w:left w:val="single" w:color="auto" w:sz="4" w:space="0"/>
              <w:bottom w:val="single" w:color="auto" w:sz="8"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897" w:type="dxa"/>
            <w:tcBorders>
              <w:top w:val="single" w:color="auto" w:sz="4" w:space="0"/>
              <w:left w:val="single" w:color="auto" w:sz="4" w:space="0"/>
              <w:bottom w:val="single" w:color="auto" w:sz="8"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701" w:type="dxa"/>
            <w:tcBorders>
              <w:top w:val="single" w:color="auto" w:sz="4" w:space="0"/>
              <w:left w:val="single" w:color="auto" w:sz="4" w:space="0"/>
              <w:bottom w:val="single" w:color="auto" w:sz="8"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2094" w:type="dxa"/>
            <w:tcBorders>
              <w:top w:val="single" w:color="auto" w:sz="4" w:space="0"/>
              <w:left w:val="single" w:color="auto" w:sz="4" w:space="0"/>
              <w:bottom w:val="single" w:color="auto" w:sz="8" w:space="0"/>
              <w:right w:val="single" w:color="auto" w:sz="4"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c>
          <w:tcPr>
            <w:tcW w:w="1992" w:type="dxa"/>
            <w:tcBorders>
              <w:top w:val="single" w:color="auto" w:sz="4" w:space="0"/>
              <w:left w:val="single" w:color="auto" w:sz="4" w:space="0"/>
              <w:bottom w:val="single" w:color="auto" w:sz="8" w:space="0"/>
              <w:right w:val="single" w:color="auto" w:sz="8" w:space="0"/>
              <w:tl2br w:val="nil"/>
              <w:tr2bl w:val="nil"/>
            </w:tcBorders>
            <w:vAlign w:val="top"/>
          </w:tcPr>
          <w:p>
            <w:pPr>
              <w:widowControl/>
              <w:spacing w:beforeLines="0" w:afterLines="0" w:line="400" w:lineRule="exact"/>
              <w:jc w:val="left"/>
              <w:rPr>
                <w:rFonts w:hint="eastAsia" w:ascii="Times New Roman" w:hAnsi="Times New Roman" w:eastAsia="方正仿宋_GBK" w:cs="方正仿宋_GBK"/>
                <w:color w:val="auto"/>
                <w:sz w:val="20"/>
                <w:szCs w:val="20"/>
                <w:highlight w:val="none"/>
              </w:rPr>
            </w:pPr>
          </w:p>
        </w:tc>
      </w:tr>
    </w:tbl>
    <w:p>
      <w:pPr>
        <w:spacing w:beforeLines="0" w:afterLines="0" w:line="600" w:lineRule="exact"/>
        <w:rPr>
          <w:rFonts w:hint="eastAsia" w:ascii="Times New Roman" w:hAnsi="Times New Roman" w:eastAsia="黑体"/>
          <w:color w:val="auto"/>
          <w:spacing w:val="-25"/>
          <w:position w:val="1"/>
          <w:sz w:val="32"/>
          <w:szCs w:val="32"/>
          <w:highlight w:val="none"/>
        </w:rPr>
      </w:pPr>
      <w:r>
        <w:rPr>
          <w:rFonts w:hint="default" w:ascii="Times New Roman" w:hAnsi="Times New Roman"/>
          <w:color w:val="auto"/>
          <w:sz w:val="28"/>
          <w:szCs w:val="24"/>
          <w:highlight w:val="none"/>
        </w:rPr>
        <w:br w:type="page"/>
      </w:r>
      <w:r>
        <w:rPr>
          <w:rFonts w:hint="eastAsia" w:ascii="Times New Roman" w:hAnsi="Times New Roman" w:eastAsia="方正黑体_GBK"/>
          <w:color w:val="auto"/>
          <w:sz w:val="32"/>
          <w:szCs w:val="32"/>
          <w:highlight w:val="none"/>
        </w:rPr>
        <w:t>附件8</w:t>
      </w:r>
    </w:p>
    <w:p>
      <w:pPr>
        <w:spacing w:before="468" w:beforeLines="150" w:after="468" w:afterLines="150" w:line="600" w:lineRule="exact"/>
        <w:jc w:val="center"/>
        <w:rPr>
          <w:rFonts w:hint="default" w:ascii="Times New Roman" w:hAnsi="Times New Roman" w:eastAsia="方正小标宋_GBK"/>
          <w:color w:val="auto"/>
          <w:sz w:val="44"/>
          <w:szCs w:val="44"/>
          <w:highlight w:val="none"/>
        </w:rPr>
      </w:pPr>
      <w:r>
        <w:rPr>
          <w:rFonts w:hint="eastAsia" w:ascii="Times New Roman" w:hAnsi="Times New Roman" w:eastAsia="方正小标宋_GBK"/>
          <w:color w:val="auto"/>
          <w:sz w:val="44"/>
          <w:szCs w:val="44"/>
          <w:highlight w:val="none"/>
        </w:rPr>
        <w:t>预算绩效管理制度建设清单</w:t>
      </w:r>
    </w:p>
    <w:tbl>
      <w:tblPr>
        <w:tblStyle w:val="9"/>
        <w:tblW w:w="1417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22"/>
        <w:gridCol w:w="2190"/>
        <w:gridCol w:w="2190"/>
        <w:gridCol w:w="2190"/>
        <w:gridCol w:w="1963"/>
        <w:gridCol w:w="2418"/>
        <w:gridCol w:w="23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2" w:type="dxa"/>
            <w:tcBorders>
              <w:top w:val="single" w:color="auto" w:sz="8" w:space="0"/>
              <w:left w:val="single" w:color="auto" w:sz="8" w:space="0"/>
              <w:bottom w:val="single" w:color="auto" w:sz="4" w:space="0"/>
              <w:right w:val="single" w:color="auto" w:sz="4" w:space="0"/>
              <w:tl2br w:val="nil"/>
              <w:tr2bl w:val="nil"/>
            </w:tcBorders>
            <w:vAlign w:val="center"/>
          </w:tcPr>
          <w:p>
            <w:pPr>
              <w:widowControl/>
              <w:spacing w:beforeLines="0" w:afterLines="0" w:line="30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序号</w:t>
            </w:r>
          </w:p>
        </w:tc>
        <w:tc>
          <w:tcPr>
            <w:tcW w:w="2190" w:type="dxa"/>
            <w:tcBorders>
              <w:top w:val="single" w:color="auto" w:sz="8" w:space="0"/>
              <w:left w:val="single" w:color="auto" w:sz="4" w:space="0"/>
              <w:bottom w:val="single" w:color="auto" w:sz="4" w:space="0"/>
              <w:right w:val="single" w:color="auto" w:sz="4" w:space="0"/>
              <w:tl2br w:val="nil"/>
              <w:tr2bl w:val="nil"/>
            </w:tcBorders>
            <w:vAlign w:val="center"/>
          </w:tcPr>
          <w:p>
            <w:pPr>
              <w:widowControl/>
              <w:spacing w:beforeLines="0" w:afterLines="0" w:line="30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单位名称</w:t>
            </w:r>
          </w:p>
        </w:tc>
        <w:tc>
          <w:tcPr>
            <w:tcW w:w="2190" w:type="dxa"/>
            <w:tcBorders>
              <w:top w:val="single" w:color="auto" w:sz="8"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制度名称</w:t>
            </w:r>
          </w:p>
        </w:tc>
        <w:tc>
          <w:tcPr>
            <w:tcW w:w="2190" w:type="dxa"/>
            <w:tcBorders>
              <w:top w:val="single" w:color="auto" w:sz="8"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center"/>
              <w:rPr>
                <w:rFonts w:hint="eastAsia" w:ascii="Times New Roman" w:hAnsi="Times New Roman" w:eastAsia="方正仿宋_GBK" w:cs="方正仿宋_GBK"/>
                <w:b/>
                <w:color w:val="auto"/>
                <w:sz w:val="32"/>
                <w:szCs w:val="32"/>
                <w:highlight w:val="none"/>
              </w:rPr>
            </w:pPr>
            <w:r>
              <w:rPr>
                <w:rFonts w:hint="eastAsia" w:ascii="Times New Roman" w:hAnsi="Times New Roman" w:eastAsia="方正仿宋_GBK" w:cs="方正仿宋_GBK"/>
                <w:b/>
                <w:color w:val="auto"/>
                <w:sz w:val="28"/>
                <w:szCs w:val="24"/>
                <w:highlight w:val="none"/>
              </w:rPr>
              <w:t>建设时间</w:t>
            </w:r>
          </w:p>
        </w:tc>
        <w:tc>
          <w:tcPr>
            <w:tcW w:w="1963" w:type="dxa"/>
            <w:tcBorders>
              <w:top w:val="single" w:color="auto" w:sz="8"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制度文号</w:t>
            </w:r>
          </w:p>
        </w:tc>
        <w:tc>
          <w:tcPr>
            <w:tcW w:w="2418" w:type="dxa"/>
            <w:tcBorders>
              <w:top w:val="single" w:color="auto" w:sz="8"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center"/>
              <w:rPr>
                <w:rFonts w:hint="eastAsia" w:ascii="Times New Roman" w:hAnsi="Times New Roman" w:eastAsia="方正仿宋_GBK" w:cs="方正仿宋_GBK"/>
                <w:b/>
                <w:color w:val="auto"/>
                <w:sz w:val="32"/>
                <w:szCs w:val="32"/>
                <w:highlight w:val="none"/>
              </w:rPr>
            </w:pPr>
            <w:r>
              <w:rPr>
                <w:rFonts w:hint="eastAsia" w:ascii="Times New Roman" w:hAnsi="Times New Roman" w:eastAsia="方正仿宋_GBK" w:cs="方正仿宋_GBK"/>
                <w:b/>
                <w:color w:val="auto"/>
                <w:sz w:val="28"/>
                <w:szCs w:val="24"/>
                <w:highlight w:val="none"/>
              </w:rPr>
              <w:t>制定依据</w:t>
            </w:r>
          </w:p>
        </w:tc>
        <w:tc>
          <w:tcPr>
            <w:tcW w:w="2300" w:type="dxa"/>
            <w:tcBorders>
              <w:top w:val="single" w:color="auto" w:sz="8" w:space="0"/>
              <w:left w:val="single" w:color="auto" w:sz="4" w:space="0"/>
              <w:bottom w:val="single" w:color="auto" w:sz="4" w:space="0"/>
              <w:right w:val="single" w:color="auto" w:sz="8" w:space="0"/>
              <w:tl2br w:val="nil"/>
              <w:tr2bl w:val="nil"/>
            </w:tcBorders>
            <w:vAlign w:val="center"/>
          </w:tcPr>
          <w:p>
            <w:pPr>
              <w:widowControl/>
              <w:spacing w:beforeLines="0" w:afterLines="0" w:line="40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2" w:type="dxa"/>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r>
              <w:rPr>
                <w:rFonts w:hint="eastAsia" w:ascii="Times New Roman" w:hAnsi="Times New Roman" w:eastAsia="方正仿宋_GBK" w:cs="方正仿宋_GBK"/>
                <w:color w:val="auto"/>
                <w:sz w:val="28"/>
                <w:szCs w:val="28"/>
                <w:highlight w:val="none"/>
              </w:rPr>
              <w:t>湖南省市场监管事务中心</w:t>
            </w: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60" w:lineRule="exact"/>
              <w:jc w:val="left"/>
              <w:rPr>
                <w:rFonts w:hint="eastAsia" w:ascii="Times New Roman" w:hAnsi="Times New Roman" w:eastAsia="方正仿宋_GBK" w:cs="方正仿宋_GBK"/>
                <w:color w:val="auto"/>
                <w:sz w:val="32"/>
                <w:szCs w:val="32"/>
                <w:highlight w:val="none"/>
              </w:rPr>
            </w:pPr>
            <w:r>
              <w:rPr>
                <w:rFonts w:hint="eastAsia" w:ascii="Times New Roman" w:hAnsi="Times New Roman" w:eastAsia="方正仿宋_GBK" w:cs="方正仿宋_GBK"/>
                <w:color w:val="auto"/>
                <w:sz w:val="32"/>
                <w:szCs w:val="32"/>
                <w:highlight w:val="none"/>
              </w:rPr>
              <w:t>无</w:t>
            </w: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1963"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418"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300"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2" w:type="dxa"/>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60" w:lineRule="exac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1963"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418"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300"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2" w:type="dxa"/>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1963"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418"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300"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2" w:type="dxa"/>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1963"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418"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300"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2" w:type="dxa"/>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1963"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418"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300"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2" w:type="dxa"/>
            <w:tcBorders>
              <w:top w:val="single" w:color="auto" w:sz="4" w:space="0"/>
              <w:left w:val="single" w:color="auto" w:sz="8"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1963"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418" w:type="dxa"/>
            <w:tcBorders>
              <w:top w:val="single" w:color="auto" w:sz="4" w:space="0"/>
              <w:left w:val="single" w:color="auto" w:sz="4" w:space="0"/>
              <w:bottom w:val="single" w:color="auto" w:sz="4"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300" w:type="dxa"/>
            <w:tcBorders>
              <w:top w:val="single" w:color="auto" w:sz="4" w:space="0"/>
              <w:left w:val="single" w:color="auto" w:sz="4" w:space="0"/>
              <w:bottom w:val="single" w:color="auto" w:sz="4" w:space="0"/>
              <w:right w:val="single" w:color="auto" w:sz="8"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2" w:type="dxa"/>
            <w:tcBorders>
              <w:top w:val="single" w:color="auto" w:sz="4" w:space="0"/>
              <w:left w:val="single" w:color="auto" w:sz="8" w:space="0"/>
              <w:bottom w:val="single" w:color="auto" w:sz="8"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8"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8"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190" w:type="dxa"/>
            <w:tcBorders>
              <w:top w:val="single" w:color="auto" w:sz="4" w:space="0"/>
              <w:left w:val="single" w:color="auto" w:sz="4" w:space="0"/>
              <w:bottom w:val="single" w:color="auto" w:sz="8"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1963" w:type="dxa"/>
            <w:tcBorders>
              <w:top w:val="single" w:color="auto" w:sz="4" w:space="0"/>
              <w:left w:val="single" w:color="auto" w:sz="4" w:space="0"/>
              <w:bottom w:val="single" w:color="auto" w:sz="8"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418" w:type="dxa"/>
            <w:tcBorders>
              <w:top w:val="single" w:color="auto" w:sz="4" w:space="0"/>
              <w:left w:val="single" w:color="auto" w:sz="4" w:space="0"/>
              <w:bottom w:val="single" w:color="auto" w:sz="8" w:space="0"/>
              <w:right w:val="single" w:color="auto" w:sz="4"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c>
          <w:tcPr>
            <w:tcW w:w="2300" w:type="dxa"/>
            <w:tcBorders>
              <w:top w:val="single" w:color="auto" w:sz="4" w:space="0"/>
              <w:left w:val="single" w:color="auto" w:sz="4" w:space="0"/>
              <w:bottom w:val="single" w:color="auto" w:sz="8" w:space="0"/>
              <w:right w:val="single" w:color="auto" w:sz="8" w:space="0"/>
              <w:tl2br w:val="nil"/>
              <w:tr2bl w:val="nil"/>
            </w:tcBorders>
            <w:vAlign w:val="center"/>
          </w:tcPr>
          <w:p>
            <w:pPr>
              <w:widowControl/>
              <w:spacing w:beforeLines="0" w:afterLines="0" w:line="400" w:lineRule="exact"/>
              <w:jc w:val="left"/>
              <w:rPr>
                <w:rFonts w:hint="eastAsia" w:ascii="Times New Roman" w:hAnsi="Times New Roman" w:eastAsia="方正仿宋_GBK" w:cs="方正仿宋_GBK"/>
                <w:color w:val="auto"/>
                <w:sz w:val="32"/>
                <w:szCs w:val="32"/>
                <w:highlight w:val="none"/>
              </w:rPr>
            </w:pPr>
          </w:p>
        </w:tc>
      </w:tr>
    </w:tbl>
    <w:p>
      <w:pPr>
        <w:spacing w:beforeLines="0" w:afterLines="0" w:line="400" w:lineRule="exact"/>
        <w:ind w:right="420" w:rightChars="200"/>
        <w:rPr>
          <w:rFonts w:hint="default" w:ascii="Times New Roman" w:hAnsi="Times New Roman" w:eastAsia="微软雅黑"/>
          <w:color w:val="auto"/>
          <w:sz w:val="32"/>
          <w:szCs w:val="32"/>
          <w:highlight w:val="none"/>
        </w:rPr>
      </w:pPr>
    </w:p>
    <w:p>
      <w:pPr>
        <w:spacing w:beforeLines="0" w:afterLines="0" w:line="400" w:lineRule="exact"/>
        <w:ind w:firstLine="712" w:firstLineChars="200"/>
        <w:rPr>
          <w:rFonts w:hint="default" w:ascii="Times New Roman" w:hAnsi="Times New Roman" w:eastAsia="仿宋_GB2312"/>
          <w:color w:val="auto"/>
          <w:spacing w:val="18"/>
          <w:sz w:val="32"/>
          <w:szCs w:val="32"/>
          <w:highlight w:val="none"/>
        </w:rPr>
        <w:sectPr>
          <w:footerReference r:id="rId5" w:type="default"/>
          <w:pgSz w:w="16838" w:h="11906" w:orient="landscape"/>
          <w:pgMar w:top="1474" w:right="1474" w:bottom="1474" w:left="1474" w:header="851" w:footer="1134" w:gutter="0"/>
          <w:lnNumType w:countBy="0" w:distance="360"/>
          <w:cols w:space="720" w:num="1"/>
          <w:docGrid w:type="lines" w:linePitch="312" w:charSpace="0"/>
        </w:sectPr>
      </w:pPr>
    </w:p>
    <w:p>
      <w:pPr>
        <w:spacing w:before="104" w:beforeLines="0" w:afterLines="0" w:line="425" w:lineRule="exact"/>
        <w:ind w:left="69"/>
        <w:rPr>
          <w:rFonts w:hint="default" w:ascii="Times New Roman" w:hAnsi="Times New Roman" w:eastAsia="方正黑体_GBK"/>
          <w:color w:val="auto"/>
          <w:sz w:val="32"/>
          <w:szCs w:val="32"/>
          <w:highlight w:val="none"/>
        </w:rPr>
      </w:pPr>
      <w:r>
        <w:rPr>
          <w:rFonts w:hint="eastAsia" w:ascii="Times New Roman" w:hAnsi="Times New Roman" w:eastAsia="方正黑体_GBK"/>
          <w:color w:val="auto"/>
          <w:sz w:val="32"/>
          <w:szCs w:val="32"/>
          <w:highlight w:val="none"/>
        </w:rPr>
        <w:t>附件9</w:t>
      </w:r>
    </w:p>
    <w:p>
      <w:pPr>
        <w:spacing w:before="468" w:beforeLines="150" w:after="468" w:afterLines="150" w:line="600" w:lineRule="exact"/>
        <w:jc w:val="center"/>
        <w:rPr>
          <w:rFonts w:hint="default" w:ascii="Times New Roman" w:hAnsi="Times New Roman" w:eastAsia="方正小标宋_GBK"/>
          <w:color w:val="auto"/>
          <w:sz w:val="44"/>
          <w:szCs w:val="44"/>
          <w:highlight w:val="none"/>
        </w:rPr>
      </w:pPr>
      <w:r>
        <w:rPr>
          <w:rFonts w:hint="eastAsia" w:ascii="Times New Roman" w:hAnsi="Times New Roman" w:eastAsia="方正小标宋_GBK"/>
          <w:color w:val="auto"/>
          <w:sz w:val="44"/>
          <w:szCs w:val="44"/>
          <w:highlight w:val="none"/>
        </w:rPr>
        <w:t>单位整体支出绩效自评工作考核评分表</w:t>
      </w:r>
    </w:p>
    <w:tbl>
      <w:tblPr>
        <w:tblStyle w:val="9"/>
        <w:tblW w:w="935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113"/>
        <w:gridCol w:w="4689"/>
        <w:gridCol w:w="28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2" w:type="dxa"/>
            <w:tcBorders>
              <w:top w:val="single" w:color="auto" w:sz="8" w:space="0"/>
              <w:left w:val="single" w:color="auto" w:sz="8"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一级指标</w:t>
            </w:r>
          </w:p>
        </w:tc>
        <w:tc>
          <w:tcPr>
            <w:tcW w:w="1113" w:type="dxa"/>
            <w:tcBorders>
              <w:top w:val="single" w:color="auto" w:sz="8" w:space="0"/>
              <w:left w:val="single" w:color="auto" w:sz="4"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二级指标</w:t>
            </w:r>
          </w:p>
        </w:tc>
        <w:tc>
          <w:tcPr>
            <w:tcW w:w="4689" w:type="dxa"/>
            <w:tcBorders>
              <w:top w:val="single" w:color="auto" w:sz="8" w:space="0"/>
              <w:left w:val="single" w:color="auto" w:sz="4"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评分标准</w:t>
            </w:r>
          </w:p>
        </w:tc>
        <w:tc>
          <w:tcPr>
            <w:tcW w:w="2840" w:type="dxa"/>
            <w:tcBorders>
              <w:top w:val="single" w:color="auto" w:sz="8" w:space="0"/>
              <w:left w:val="single" w:color="auto" w:sz="4" w:space="0"/>
              <w:bottom w:val="single" w:color="auto" w:sz="4" w:space="0"/>
              <w:right w:val="single" w:color="auto" w:sz="8" w:space="0"/>
              <w:tl2br w:val="nil"/>
              <w:tr2bl w:val="nil"/>
            </w:tcBorders>
            <w:vAlign w:val="center"/>
          </w:tcPr>
          <w:p>
            <w:pPr>
              <w:spacing w:beforeLines="0" w:afterLines="0" w:line="34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所需佐证材料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vMerge w:val="restart"/>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布置工作</w:t>
            </w:r>
          </w:p>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（5）</w:t>
            </w:r>
          </w:p>
        </w:tc>
        <w:tc>
          <w:tcPr>
            <w:tcW w:w="111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自评通知</w:t>
            </w:r>
          </w:p>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（3分）</w:t>
            </w:r>
          </w:p>
        </w:tc>
        <w:tc>
          <w:tcPr>
            <w:tcW w:w="468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组织本单位内设部门开展绩效自评，有相关文件的得3分，否则不得分。</w:t>
            </w:r>
          </w:p>
        </w:tc>
        <w:tc>
          <w:tcPr>
            <w:tcW w:w="2840"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3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绩效自评通知盖章的电子版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p>
        </w:tc>
        <w:tc>
          <w:tcPr>
            <w:tcW w:w="111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工作小组</w:t>
            </w:r>
          </w:p>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（2分）</w:t>
            </w:r>
          </w:p>
        </w:tc>
        <w:tc>
          <w:tcPr>
            <w:tcW w:w="468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成立绩效自评工作小组的得2分，否则不得分。</w:t>
            </w:r>
          </w:p>
        </w:tc>
        <w:tc>
          <w:tcPr>
            <w:tcW w:w="2840"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3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本单位预算绩效管理领导小组/绩效评价工作小组有关文件盖章的电子版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712" w:type="dxa"/>
            <w:vMerge w:val="restart"/>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绩效管理基础工作</w:t>
            </w:r>
          </w:p>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lang w:bidi="ar"/>
              </w:rPr>
              <w:t>10分</w:t>
            </w:r>
          </w:p>
        </w:tc>
        <w:tc>
          <w:tcPr>
            <w:tcW w:w="111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绩效目标</w:t>
            </w:r>
          </w:p>
          <w:p>
            <w:pPr>
              <w:spacing w:beforeLines="0" w:afterLines="0" w:line="340" w:lineRule="exact"/>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管理</w:t>
            </w:r>
          </w:p>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lang w:bidi="ar"/>
              </w:rPr>
              <w:t>（5分）</w:t>
            </w:r>
          </w:p>
        </w:tc>
        <w:tc>
          <w:tcPr>
            <w:tcW w:w="468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每个单位均要按要求开展绩效自查，对照年初绩效目标批复表，完成绩效评价，计1分；</w:t>
            </w:r>
            <w:r>
              <w:rPr>
                <w:rFonts w:hint="eastAsia" w:ascii="Times New Roman" w:hAnsi="Times New Roman" w:eastAsia="方正仿宋_GBK" w:cs="方正仿宋_GBK"/>
                <w:color w:val="auto"/>
                <w:sz w:val="20"/>
                <w:szCs w:val="20"/>
                <w:highlight w:val="none"/>
                <w:lang w:bidi="ar"/>
              </w:rPr>
              <w:t>有专项资金的直属机构应积极对接归口管理处室获取绩效目标分解表的，计2分；积极主动对接归口管理处室，并汇总绩效目标表的，计2分。</w:t>
            </w:r>
          </w:p>
        </w:tc>
        <w:tc>
          <w:tcPr>
            <w:tcW w:w="2840"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3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绩效目标汇总表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p>
        </w:tc>
        <w:tc>
          <w:tcPr>
            <w:tcW w:w="111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jc w:val="center"/>
              <w:textAlignment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项目管理</w:t>
            </w:r>
          </w:p>
          <w:p>
            <w:pPr>
              <w:spacing w:beforeLines="0" w:afterLines="0" w:line="340" w:lineRule="exact"/>
              <w:jc w:val="center"/>
              <w:textAlignment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情况</w:t>
            </w:r>
          </w:p>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lang w:bidi="ar"/>
              </w:rPr>
              <w:t>（5分）</w:t>
            </w:r>
          </w:p>
        </w:tc>
        <w:tc>
          <w:tcPr>
            <w:tcW w:w="468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lang w:bidi="ar"/>
              </w:rPr>
              <w:t>制定发文的项目管理制度，制度应包含项目的绩效目标设置、资金分配、分配因素、项目绩效管理、项目验收、资料归档等方面的内容，全部包含计5分，每发现缺少一项扣1分，扣完为止。</w:t>
            </w:r>
          </w:p>
        </w:tc>
        <w:tc>
          <w:tcPr>
            <w:tcW w:w="2840"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340" w:lineRule="exact"/>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项目管理制度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vMerge w:val="restart"/>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340" w:lineRule="exact"/>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绩效运行监控情况</w:t>
            </w:r>
          </w:p>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lang w:bidi="ar"/>
              </w:rPr>
              <w:t>（5分）</w:t>
            </w:r>
          </w:p>
        </w:tc>
        <w:tc>
          <w:tcPr>
            <w:tcW w:w="111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监控执行性（2分）</w:t>
            </w:r>
          </w:p>
        </w:tc>
        <w:tc>
          <w:tcPr>
            <w:tcW w:w="468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是否在规定时间内提交预算执行进度和绩效目标完成情况“双监控”表格的，每推迟1个工作日扣1分，扣完为止。</w:t>
            </w:r>
          </w:p>
        </w:tc>
        <w:tc>
          <w:tcPr>
            <w:tcW w:w="2840" w:type="dxa"/>
            <w:vMerge w:val="restart"/>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340" w:lineRule="exact"/>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2023年度绩效运行监控报告、绩效运行监控表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lang w:bidi="ar"/>
              </w:rPr>
            </w:pPr>
          </w:p>
        </w:tc>
        <w:tc>
          <w:tcPr>
            <w:tcW w:w="111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监控有效性（3分）</w:t>
            </w:r>
          </w:p>
        </w:tc>
        <w:tc>
          <w:tcPr>
            <w:tcW w:w="468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①是否存在未经批复随意改动绩效指标的情况，如有扣1分；</w:t>
            </w:r>
          </w:p>
          <w:p>
            <w:pPr>
              <w:spacing w:beforeLines="0" w:afterLines="0" w:line="340" w:lineRule="exact"/>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②绩效目标有偏差，未对偏差原因进行分析，提出整改措施的，每发现一项扣1分，扣完为止。</w:t>
            </w:r>
          </w:p>
        </w:tc>
        <w:tc>
          <w:tcPr>
            <w:tcW w:w="2840" w:type="dxa"/>
            <w:vMerge w:val="continue"/>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340" w:lineRule="exact"/>
              <w:textAlignment w:val="center"/>
              <w:rPr>
                <w:rFonts w:hint="eastAsia" w:ascii="Times New Roman" w:hAnsi="Times New Roman" w:eastAsia="方正仿宋_GBK" w:cs="方正仿宋_GBK"/>
                <w:color w:val="auto"/>
                <w:sz w:val="20"/>
                <w:szCs w:val="20"/>
                <w:highlight w:val="none"/>
                <w:lang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62" w:hRule="atLeast"/>
          <w:jc w:val="center"/>
        </w:trPr>
        <w:tc>
          <w:tcPr>
            <w:tcW w:w="712" w:type="dxa"/>
            <w:vMerge w:val="restart"/>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资金绩效情况</w:t>
            </w:r>
          </w:p>
          <w:p>
            <w:pPr>
              <w:spacing w:beforeLines="0" w:afterLines="0" w:line="340" w:lineRule="exact"/>
              <w:jc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10分</w:t>
            </w:r>
          </w:p>
        </w:tc>
        <w:tc>
          <w:tcPr>
            <w:tcW w:w="111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预算执行</w:t>
            </w:r>
          </w:p>
          <w:p>
            <w:pPr>
              <w:spacing w:beforeLines="0" w:afterLines="0" w:line="340" w:lineRule="exact"/>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情况</w:t>
            </w:r>
          </w:p>
          <w:p>
            <w:pPr>
              <w:spacing w:beforeLines="0" w:afterLines="0" w:line="340" w:lineRule="exact"/>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（5分）</w:t>
            </w:r>
          </w:p>
        </w:tc>
        <w:tc>
          <w:tcPr>
            <w:tcW w:w="468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预算执行率超过90%，计5分；预算执行率在80%-90%之间，扣3分；预算执行率低于80%，扣5分。</w:t>
            </w:r>
          </w:p>
        </w:tc>
        <w:tc>
          <w:tcPr>
            <w:tcW w:w="2840"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340" w:lineRule="exact"/>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按2023年度单位整体支出绩效自评表中预算执行数及实际执行情况计分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64" w:hRule="atLeast"/>
          <w:jc w:val="center"/>
        </w:trPr>
        <w:tc>
          <w:tcPr>
            <w:tcW w:w="712"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lang w:bidi="ar"/>
              </w:rPr>
            </w:pPr>
          </w:p>
        </w:tc>
        <w:tc>
          <w:tcPr>
            <w:tcW w:w="111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资金使用</w:t>
            </w:r>
          </w:p>
          <w:p>
            <w:pPr>
              <w:spacing w:beforeLines="0" w:afterLines="0" w:line="340" w:lineRule="exact"/>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情况</w:t>
            </w:r>
          </w:p>
          <w:p>
            <w:pPr>
              <w:spacing w:beforeLines="0" w:afterLines="0" w:line="340" w:lineRule="exact"/>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（5分）</w:t>
            </w:r>
          </w:p>
        </w:tc>
        <w:tc>
          <w:tcPr>
            <w:tcW w:w="4689"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①是否违反财经法规和单位财务管理制度、专项资金管理办法、绩效管理办法、政府采购法、预算批复等规定，每发现一处扣1分；②是否存在截留、挤占、挪用、虚列支出等情况，每发现一处扣1分；③专项资金是否专项核算，每发现一处扣1分；扣完为止。</w:t>
            </w:r>
          </w:p>
        </w:tc>
        <w:tc>
          <w:tcPr>
            <w:tcW w:w="2840" w:type="dxa"/>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340" w:lineRule="exact"/>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按资料检查和现场检查情况计分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712" w:type="dxa"/>
            <w:vMerge w:val="restart"/>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自评报告</w:t>
            </w:r>
          </w:p>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70分</w:t>
            </w:r>
          </w:p>
        </w:tc>
        <w:tc>
          <w:tcPr>
            <w:tcW w:w="111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及时性</w:t>
            </w:r>
          </w:p>
          <w:p>
            <w:pPr>
              <w:spacing w:beforeLines="0" w:afterLines="0" w:line="340" w:lineRule="exact"/>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（10分）</w:t>
            </w:r>
          </w:p>
        </w:tc>
        <w:tc>
          <w:tcPr>
            <w:tcW w:w="7529" w:type="dxa"/>
            <w:gridSpan w:val="2"/>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340" w:lineRule="exact"/>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rPr>
              <w:t>按时向省局报送报告的得10分；每推迟一个工作日报送报告的扣3分，最多扣10分。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93" w:hRule="atLeast"/>
          <w:jc w:val="center"/>
        </w:trPr>
        <w:tc>
          <w:tcPr>
            <w:tcW w:w="712"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p>
        </w:tc>
        <w:tc>
          <w:tcPr>
            <w:tcW w:w="111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完整性</w:t>
            </w:r>
          </w:p>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（10分）</w:t>
            </w:r>
          </w:p>
        </w:tc>
        <w:tc>
          <w:tcPr>
            <w:tcW w:w="7529" w:type="dxa"/>
            <w:gridSpan w:val="2"/>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3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1、绩效自评报告正文部分内容齐全的，得5分；否则每少一个部分扣1分，最多扣5分。</w:t>
            </w:r>
          </w:p>
          <w:p>
            <w:pPr>
              <w:spacing w:beforeLines="0" w:afterLines="0" w:line="3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2、绩效自评报告附件部分内容齐全的，得5分；否则每少一个部分扣1分，最多扣5分。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41" w:hRule="atLeast"/>
          <w:jc w:val="center"/>
        </w:trPr>
        <w:tc>
          <w:tcPr>
            <w:tcW w:w="712"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p>
        </w:tc>
        <w:tc>
          <w:tcPr>
            <w:tcW w:w="111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绩效</w:t>
            </w:r>
          </w:p>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自评表</w:t>
            </w:r>
          </w:p>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（15分）</w:t>
            </w:r>
          </w:p>
        </w:tc>
        <w:tc>
          <w:tcPr>
            <w:tcW w:w="7529" w:type="dxa"/>
            <w:gridSpan w:val="2"/>
            <w:tcBorders>
              <w:top w:val="single" w:color="auto" w:sz="4" w:space="0"/>
              <w:left w:val="single" w:color="auto" w:sz="4" w:space="0"/>
              <w:bottom w:val="single" w:color="auto" w:sz="4" w:space="0"/>
              <w:right w:val="single" w:color="auto" w:sz="8" w:space="0"/>
              <w:tl2br w:val="nil"/>
              <w:tr2bl w:val="nil"/>
            </w:tcBorders>
            <w:vAlign w:val="center"/>
          </w:tcPr>
          <w:p>
            <w:pPr>
              <w:topLinePunct/>
              <w:spacing w:beforeLines="0" w:afterLines="0" w:line="3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1、单位整体支出和项目支出绩效指标反映产出、效益、服务对象满意度方面的指标和预算执行率的权重符合《湖南省省级预算部门绩效自评操作规程》第八条要求的，得5分，否则按比例扣除相应的分数。</w:t>
            </w:r>
          </w:p>
          <w:p>
            <w:pPr>
              <w:topLinePunct/>
              <w:spacing w:beforeLines="0" w:afterLines="0" w:line="3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2、单位整体支出和项目支出绩效指标全部细化到三级指标的，得5分；部分细化的，酌情扣分；没有细化的，不得分。</w:t>
            </w:r>
          </w:p>
          <w:p>
            <w:pPr>
              <w:topLinePunct/>
              <w:spacing w:beforeLines="0" w:afterLines="0" w:line="3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3、单位整体支出和项目支出三级绩效指标内涵明确、具体、可衡量的得5分；突出核心指标，精简实用的得3分；指标与部门整体支出和项目支出密切相关，全面反映产出和效益的得2分；否则，每项酌情扣分，最多扣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712"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p>
        </w:tc>
        <w:tc>
          <w:tcPr>
            <w:tcW w:w="111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反映问</w:t>
            </w:r>
          </w:p>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题情况</w:t>
            </w:r>
          </w:p>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（20分）</w:t>
            </w:r>
          </w:p>
        </w:tc>
        <w:tc>
          <w:tcPr>
            <w:tcW w:w="7529" w:type="dxa"/>
            <w:gridSpan w:val="2"/>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3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从预算和预算绩效管理，单位履职效能，资金分配、使用和管理，资产和财务管理，政府采购等方面归纳问题、分析原因，每1条问题应对应1条原因分析，每提出1条问题、1条原因分析的得5分；只提出资金不足问题的不得分，其他情况酌情扣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712" w:type="dxa"/>
            <w:vMerge w:val="continue"/>
            <w:tcBorders>
              <w:top w:val="single" w:color="auto" w:sz="4" w:space="0"/>
              <w:left w:val="single" w:color="auto" w:sz="8"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p>
        </w:tc>
        <w:tc>
          <w:tcPr>
            <w:tcW w:w="1113"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建议情况</w:t>
            </w:r>
          </w:p>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（15分）</w:t>
            </w:r>
          </w:p>
        </w:tc>
        <w:tc>
          <w:tcPr>
            <w:tcW w:w="7529" w:type="dxa"/>
            <w:gridSpan w:val="2"/>
            <w:tcBorders>
              <w:top w:val="single" w:color="auto" w:sz="4" w:space="0"/>
              <w:left w:val="single" w:color="auto" w:sz="4" w:space="0"/>
              <w:bottom w:val="single" w:color="auto" w:sz="4" w:space="0"/>
              <w:right w:val="single" w:color="auto" w:sz="8" w:space="0"/>
              <w:tl2br w:val="nil"/>
              <w:tr2bl w:val="nil"/>
            </w:tcBorders>
            <w:vAlign w:val="center"/>
          </w:tcPr>
          <w:p>
            <w:pPr>
              <w:spacing w:beforeLines="0" w:afterLines="0" w:line="340" w:lineRule="exact"/>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建议与问题应一一对应，每提出1条建议得5分，只提出加大资金投入建议的不得分；其他情况酌情扣分。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12" w:type="dxa"/>
            <w:tcBorders>
              <w:top w:val="single" w:color="auto" w:sz="4" w:space="0"/>
              <w:left w:val="single" w:color="auto" w:sz="8" w:space="0"/>
              <w:bottom w:val="single" w:color="auto" w:sz="8"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合计</w:t>
            </w:r>
          </w:p>
        </w:tc>
        <w:tc>
          <w:tcPr>
            <w:tcW w:w="1113" w:type="dxa"/>
            <w:tcBorders>
              <w:top w:val="single" w:color="auto" w:sz="4" w:space="0"/>
              <w:left w:val="single" w:color="auto" w:sz="4" w:space="0"/>
              <w:bottom w:val="single" w:color="auto" w:sz="8" w:space="0"/>
              <w:right w:val="single" w:color="auto" w:sz="4" w:space="0"/>
              <w:tl2br w:val="nil"/>
              <w:tr2bl w:val="nil"/>
            </w:tcBorders>
            <w:vAlign w:val="center"/>
          </w:tcPr>
          <w:p>
            <w:pPr>
              <w:spacing w:beforeLines="0" w:afterLines="0" w:line="340" w:lineRule="exact"/>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100分</w:t>
            </w:r>
          </w:p>
        </w:tc>
        <w:tc>
          <w:tcPr>
            <w:tcW w:w="7529" w:type="dxa"/>
            <w:gridSpan w:val="2"/>
            <w:tcBorders>
              <w:top w:val="single" w:color="auto" w:sz="4" w:space="0"/>
              <w:left w:val="single" w:color="auto" w:sz="4" w:space="0"/>
              <w:bottom w:val="single" w:color="auto" w:sz="8" w:space="0"/>
              <w:right w:val="single" w:color="auto" w:sz="8" w:space="0"/>
              <w:tl2br w:val="nil"/>
              <w:tr2bl w:val="nil"/>
            </w:tcBorders>
            <w:vAlign w:val="center"/>
          </w:tcPr>
          <w:p>
            <w:pPr>
              <w:spacing w:beforeLines="0" w:afterLines="0" w:line="340" w:lineRule="exact"/>
              <w:rPr>
                <w:rFonts w:hint="eastAsia" w:ascii="Times New Roman" w:hAnsi="Times New Roman" w:eastAsia="方正仿宋_GBK" w:cs="方正仿宋_GBK"/>
                <w:color w:val="auto"/>
                <w:sz w:val="20"/>
                <w:szCs w:val="20"/>
                <w:highlight w:val="none"/>
              </w:rPr>
            </w:pPr>
          </w:p>
        </w:tc>
      </w:tr>
    </w:tbl>
    <w:p>
      <w:pPr>
        <w:jc w:val="left"/>
        <w:rPr>
          <w:rFonts w:cs="黑体" w:asciiTheme="minorEastAsia" w:hAnsiTheme="minorEastAsia"/>
          <w:color w:val="000000"/>
          <w:kern w:val="0"/>
          <w:sz w:val="32"/>
          <w:szCs w:val="32"/>
          <w:highlight w:val="none"/>
        </w:rPr>
        <w:sectPr>
          <w:pgSz w:w="11906" w:h="16838"/>
          <w:pgMar w:top="720" w:right="720" w:bottom="720" w:left="720" w:header="851" w:footer="992" w:gutter="0"/>
          <w:cols w:space="425" w:num="1"/>
          <w:docGrid w:type="linesAndChars" w:linePitch="312" w:charSpace="0"/>
        </w:sectPr>
      </w:pPr>
    </w:p>
    <w:p>
      <w:pPr>
        <w:spacing w:before="104" w:beforeLines="0" w:afterLines="0" w:line="425" w:lineRule="exact"/>
        <w:ind w:left="69"/>
        <w:rPr>
          <w:rFonts w:hint="default" w:ascii="Times New Roman" w:hAnsi="Times New Roman" w:eastAsia="方正黑体_GBK"/>
          <w:color w:val="auto"/>
          <w:sz w:val="32"/>
          <w:szCs w:val="32"/>
          <w:highlight w:val="none"/>
        </w:rPr>
      </w:pPr>
      <w:r>
        <w:rPr>
          <w:rFonts w:hint="eastAsia" w:ascii="Times New Roman" w:hAnsi="Times New Roman" w:eastAsia="方正黑体_GBK"/>
          <w:color w:val="auto"/>
          <w:sz w:val="32"/>
          <w:szCs w:val="32"/>
          <w:highlight w:val="none"/>
        </w:rPr>
        <w:t>附件10</w:t>
      </w:r>
    </w:p>
    <w:p>
      <w:pPr>
        <w:spacing w:before="478" w:beforeLines="150" w:after="478" w:afterLines="150" w:line="600" w:lineRule="exact"/>
        <w:jc w:val="center"/>
        <w:rPr>
          <w:rFonts w:hint="default" w:ascii="Times New Roman" w:hAnsi="Times New Roman" w:eastAsia="方正小标宋_GBK"/>
          <w:color w:val="auto"/>
          <w:sz w:val="44"/>
          <w:szCs w:val="44"/>
          <w:highlight w:val="none"/>
        </w:rPr>
      </w:pPr>
      <w:r>
        <w:rPr>
          <w:rFonts w:hint="eastAsia" w:ascii="Times New Roman" w:hAnsi="Times New Roman" w:eastAsia="方正小标宋_GBK"/>
          <w:color w:val="auto"/>
          <w:sz w:val="44"/>
          <w:szCs w:val="44"/>
          <w:highlight w:val="none"/>
        </w:rPr>
        <w:t>预算绩效管理各环节结果应用清单</w:t>
      </w:r>
    </w:p>
    <w:p>
      <w:pPr>
        <w:spacing w:beforeLines="0" w:afterLines="0"/>
        <w:rPr>
          <w:rFonts w:hint="default" w:ascii="Times New Roman" w:hAnsi="Times New Roman" w:eastAsia="方正仿宋_GBK"/>
          <w:color w:val="auto"/>
          <w:spacing w:val="-2"/>
          <w:sz w:val="24"/>
          <w:szCs w:val="24"/>
          <w:highlight w:val="none"/>
        </w:rPr>
      </w:pPr>
      <w:r>
        <w:rPr>
          <w:rStyle w:val="20"/>
          <w:rFonts w:hint="eastAsia" w:ascii="Times New Roman" w:hAnsi="Times New Roman" w:eastAsia="方正仿宋_GBK" w:cs="Times New Roman"/>
          <w:color w:val="auto"/>
          <w:sz w:val="24"/>
          <w:szCs w:val="24"/>
          <w:highlight w:val="none"/>
          <w:lang w:bidi="ar"/>
        </w:rPr>
        <w:t>填报单位：</w:t>
      </w:r>
    </w:p>
    <w:tbl>
      <w:tblPr>
        <w:tblStyle w:val="9"/>
        <w:tblW w:w="1417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797"/>
        <w:gridCol w:w="3142"/>
        <w:gridCol w:w="8750"/>
        <w:gridCol w:w="1484"/>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97" w:type="dxa"/>
            <w:tcBorders>
              <w:top w:val="single" w:color="000000" w:sz="8" w:space="0"/>
              <w:left w:val="single" w:color="000000" w:sz="8" w:space="0"/>
              <w:bottom w:val="single" w:color="000000" w:sz="4" w:space="0"/>
              <w:right w:val="single" w:color="000000" w:sz="4" w:space="0"/>
              <w:tl2br w:val="nil"/>
              <w:tr2bl w:val="nil"/>
            </w:tcBorders>
            <w:vAlign w:val="center"/>
          </w:tcPr>
          <w:p>
            <w:pPr>
              <w:spacing w:beforeLines="0" w:afterLines="0" w:line="30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序号</w:t>
            </w:r>
          </w:p>
        </w:tc>
        <w:tc>
          <w:tcPr>
            <w:tcW w:w="3142" w:type="dxa"/>
            <w:tcBorders>
              <w:top w:val="single" w:color="000000" w:sz="8" w:space="0"/>
              <w:left w:val="single" w:color="000000" w:sz="4" w:space="0"/>
              <w:bottom w:val="single" w:color="000000" w:sz="4" w:space="0"/>
              <w:right w:val="single" w:color="000000" w:sz="4" w:space="0"/>
              <w:tl2br w:val="nil"/>
              <w:tr2bl w:val="nil"/>
            </w:tcBorders>
            <w:vAlign w:val="center"/>
          </w:tcPr>
          <w:p>
            <w:pPr>
              <w:spacing w:beforeLines="0" w:afterLines="0" w:line="30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预算绩效管理环节</w:t>
            </w:r>
          </w:p>
        </w:tc>
        <w:tc>
          <w:tcPr>
            <w:tcW w:w="8750" w:type="dxa"/>
            <w:tcBorders>
              <w:top w:val="single" w:color="000000" w:sz="8" w:space="0"/>
              <w:left w:val="single" w:color="000000" w:sz="4" w:space="0"/>
              <w:bottom w:val="single" w:color="000000" w:sz="4" w:space="0"/>
              <w:right w:val="single" w:color="000000" w:sz="4" w:space="0"/>
              <w:tl2br w:val="nil"/>
              <w:tr2bl w:val="nil"/>
            </w:tcBorders>
            <w:vAlign w:val="center"/>
          </w:tcPr>
          <w:p>
            <w:pPr>
              <w:spacing w:beforeLines="0" w:afterLines="0" w:line="30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结果应用情况（简述问题及实施的整改情况，包括不限于建设相关制度、采取的措施、改进的经验办法、加强相关方面的管理等）</w:t>
            </w:r>
          </w:p>
        </w:tc>
        <w:tc>
          <w:tcPr>
            <w:tcW w:w="1484" w:type="dxa"/>
            <w:tcBorders>
              <w:top w:val="single" w:color="000000" w:sz="8" w:space="0"/>
              <w:left w:val="single" w:color="000000" w:sz="4" w:space="0"/>
              <w:bottom w:val="single" w:color="000000" w:sz="4" w:space="0"/>
              <w:right w:val="single" w:color="000000" w:sz="8" w:space="0"/>
              <w:tl2br w:val="nil"/>
              <w:tr2bl w:val="nil"/>
            </w:tcBorders>
            <w:vAlign w:val="center"/>
          </w:tcPr>
          <w:p>
            <w:pPr>
              <w:spacing w:beforeLines="0" w:afterLines="0" w:line="300" w:lineRule="exact"/>
              <w:jc w:val="center"/>
              <w:rPr>
                <w:rFonts w:hint="eastAsia" w:ascii="Times New Roman" w:hAnsi="Times New Roman" w:eastAsia="方正仿宋_GBK" w:cs="方正仿宋_GBK"/>
                <w:b/>
                <w:color w:val="auto"/>
                <w:sz w:val="28"/>
                <w:szCs w:val="24"/>
                <w:highlight w:val="none"/>
              </w:rPr>
            </w:pPr>
            <w:r>
              <w:rPr>
                <w:rFonts w:hint="eastAsia" w:ascii="Times New Roman" w:hAnsi="Times New Roman" w:eastAsia="方正仿宋_GBK" w:cs="方正仿宋_GBK"/>
                <w:b/>
                <w:color w:val="auto"/>
                <w:sz w:val="28"/>
                <w:szCs w:val="24"/>
                <w:highlight w:val="none"/>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97" w:type="dxa"/>
            <w:tcBorders>
              <w:top w:val="single" w:color="000000" w:sz="4" w:space="0"/>
              <w:left w:val="single" w:color="000000" w:sz="8" w:space="0"/>
              <w:bottom w:val="single" w:color="000000" w:sz="4" w:space="0"/>
              <w:right w:val="single" w:color="000000" w:sz="4"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lang w:bidi="ar"/>
              </w:rPr>
              <w:t>1</w:t>
            </w:r>
          </w:p>
        </w:tc>
        <w:tc>
          <w:tcPr>
            <w:tcW w:w="3142"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lang w:bidi="ar"/>
              </w:rPr>
              <w:t>部门整体支出绩效评价</w:t>
            </w:r>
          </w:p>
        </w:tc>
        <w:tc>
          <w:tcPr>
            <w:tcW w:w="8750"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无</w:t>
            </w:r>
          </w:p>
        </w:tc>
        <w:tc>
          <w:tcPr>
            <w:tcW w:w="1484" w:type="dxa"/>
            <w:tcBorders>
              <w:top w:val="single" w:color="000000" w:sz="4" w:space="0"/>
              <w:left w:val="single" w:color="000000" w:sz="4" w:space="0"/>
              <w:bottom w:val="single" w:color="000000" w:sz="4" w:space="0"/>
              <w:right w:val="single" w:color="000000" w:sz="8"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97" w:type="dxa"/>
            <w:tcBorders>
              <w:top w:val="single" w:color="000000" w:sz="4" w:space="0"/>
              <w:left w:val="single" w:color="000000" w:sz="8" w:space="0"/>
              <w:bottom w:val="single" w:color="000000" w:sz="4" w:space="0"/>
              <w:right w:val="single" w:color="000000" w:sz="4"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2</w:t>
            </w:r>
          </w:p>
        </w:tc>
        <w:tc>
          <w:tcPr>
            <w:tcW w:w="3142"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lang w:bidi="ar"/>
              </w:rPr>
              <w:t>专项资金绩效评价</w:t>
            </w:r>
          </w:p>
        </w:tc>
        <w:tc>
          <w:tcPr>
            <w:tcW w:w="8750"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无</w:t>
            </w:r>
          </w:p>
        </w:tc>
        <w:tc>
          <w:tcPr>
            <w:tcW w:w="1484" w:type="dxa"/>
            <w:tcBorders>
              <w:top w:val="single" w:color="000000" w:sz="4" w:space="0"/>
              <w:left w:val="single" w:color="000000" w:sz="4" w:space="0"/>
              <w:bottom w:val="single" w:color="000000" w:sz="4" w:space="0"/>
              <w:right w:val="single" w:color="000000" w:sz="8"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97" w:type="dxa"/>
            <w:tcBorders>
              <w:top w:val="single" w:color="000000" w:sz="4" w:space="0"/>
              <w:left w:val="single" w:color="000000" w:sz="8" w:space="0"/>
              <w:bottom w:val="single" w:color="000000" w:sz="4" w:space="0"/>
              <w:right w:val="single" w:color="000000" w:sz="4"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3</w:t>
            </w:r>
          </w:p>
        </w:tc>
        <w:tc>
          <w:tcPr>
            <w:tcW w:w="3142"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lang w:bidi="ar"/>
              </w:rPr>
              <w:t>绩效运行监控</w:t>
            </w:r>
          </w:p>
        </w:tc>
        <w:tc>
          <w:tcPr>
            <w:tcW w:w="8750"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无</w:t>
            </w:r>
          </w:p>
        </w:tc>
        <w:tc>
          <w:tcPr>
            <w:tcW w:w="1484" w:type="dxa"/>
            <w:tcBorders>
              <w:top w:val="single" w:color="000000" w:sz="4" w:space="0"/>
              <w:left w:val="single" w:color="000000" w:sz="4" w:space="0"/>
              <w:bottom w:val="single" w:color="000000" w:sz="4" w:space="0"/>
              <w:right w:val="single" w:color="000000" w:sz="8"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97" w:type="dxa"/>
            <w:tcBorders>
              <w:top w:val="single" w:color="000000" w:sz="4" w:space="0"/>
              <w:left w:val="single" w:color="000000" w:sz="8" w:space="0"/>
              <w:bottom w:val="single" w:color="000000" w:sz="4" w:space="0"/>
              <w:right w:val="single" w:color="000000" w:sz="4"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4</w:t>
            </w:r>
          </w:p>
        </w:tc>
        <w:tc>
          <w:tcPr>
            <w:tcW w:w="3142"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绩效目标评审</w:t>
            </w:r>
          </w:p>
        </w:tc>
        <w:tc>
          <w:tcPr>
            <w:tcW w:w="8750"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无</w:t>
            </w:r>
          </w:p>
        </w:tc>
        <w:tc>
          <w:tcPr>
            <w:tcW w:w="1484" w:type="dxa"/>
            <w:tcBorders>
              <w:top w:val="single" w:color="000000" w:sz="4" w:space="0"/>
              <w:left w:val="single" w:color="000000" w:sz="4" w:space="0"/>
              <w:bottom w:val="single" w:color="000000" w:sz="4" w:space="0"/>
              <w:right w:val="single" w:color="000000" w:sz="8"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97" w:type="dxa"/>
            <w:tcBorders>
              <w:top w:val="single" w:color="000000" w:sz="4" w:space="0"/>
              <w:left w:val="single" w:color="000000" w:sz="8" w:space="0"/>
              <w:bottom w:val="single" w:color="000000" w:sz="4" w:space="0"/>
              <w:right w:val="single" w:color="000000" w:sz="4"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5</w:t>
            </w:r>
          </w:p>
        </w:tc>
        <w:tc>
          <w:tcPr>
            <w:tcW w:w="3142"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rPr>
              <w:t>现场监督检查</w:t>
            </w:r>
          </w:p>
        </w:tc>
        <w:tc>
          <w:tcPr>
            <w:tcW w:w="8750" w:type="dxa"/>
            <w:tcBorders>
              <w:top w:val="single" w:color="000000" w:sz="4" w:space="0"/>
              <w:left w:val="single" w:color="000000" w:sz="4" w:space="0"/>
              <w:bottom w:val="single" w:color="000000" w:sz="4" w:space="0"/>
              <w:right w:val="single" w:color="000000" w:sz="4" w:space="0"/>
              <w:tl2br w:val="nil"/>
              <w:tr2bl w:val="nil"/>
            </w:tcBorders>
            <w:vAlign w:val="center"/>
          </w:tcPr>
          <w:p>
            <w:pPr>
              <w:numPr>
                <w:ilvl w:val="0"/>
                <w:numId w:val="2"/>
              </w:numPr>
              <w:spacing w:beforeLines="0" w:afterLines="0"/>
              <w:rPr>
                <w:rFonts w:hint="default"/>
                <w:sz w:val="20"/>
                <w:szCs w:val="20"/>
                <w:highlight w:val="none"/>
              </w:rPr>
            </w:pPr>
            <w:r>
              <w:rPr>
                <w:rFonts w:hint="eastAsia"/>
                <w:sz w:val="20"/>
                <w:szCs w:val="20"/>
                <w:highlight w:val="none"/>
              </w:rPr>
              <w:t>关于《2021年以来巡视巡察、内部审计问题及内部控制制度建设情况专项审计报告》的问题及实施的整改情况：1、2021年以来巡视巡察、内部审计问题提出的关于固定资产、低值易耗品、食堂成本、车辆运行管理不到位、岗位设置不合理、未与供应商签订合同的6个问题已完整改。2023年6月对事务中心固定资产进行了清查，根据账实核对结果，将确认无误的固定资产明细数据录入到行政事业资产管理信息系统中，使财务账和资产管理系统实物账实现“账账相符”；低值易耗品现已及时入库，各处室指定专人领用办公用品，做到账实符；食堂已和供应商签订了合同，并加强了对食堂成本的管理，制订登记了食堂原材料库存台账；2023年底已完成清理核对员工餐卡余额；对公车基础信息、车辆维修保养等信息建立了公务车辆档案。2、关于内部控制制度建设情况提出的关于内控制度、预算管理、收支管理、资产管理、人事管理、采购管理、合同管理、对下属机构的管理及其他方面的35个问题。实施的整改情况：2023年8月启动了内控制度建设工作，11月完成了《内控手册》初稿，年底前修订完成《内控手册》；2023年已严格按照各部门申报预算计划汇总情况编制预算，并严格按照预算科目执行；进一步加强财务收支管理，对无事前审批、未见公务卡刷卡、未加盖公章、汇总报销单填写不完整等问题一律不予以报销；对于漏记的固定资产已登记，保证了国有资产的完整性；2022年底开始，全面取消纸质派车单，车队实行了分类管理、平台申报、平台调度；在人事管理方面已将劳务派遣人员调离餐卡充值岗位，按照有关规定严格落实休假制度；严格按照《湖南省市场监管局项目采购办法》进行政府采购；合同采纳法律顾问意见，避免合同采购风险，严格按合同履约，完善修订了合同管理相关制度，并指定部门负责合同的管理，加强合同的统计、分类、归档、台账登记等；对下属食堂、小超市的相关制度条款进行进行了完善和修改，规范规范了食堂的物资领用管理，建立了食品安全管理档案；2023年底建立了餐卡异动信息管理及餐票销毁台账，对所有餐卡进行了实名制管理。</w:t>
            </w:r>
          </w:p>
          <w:p>
            <w:pPr>
              <w:pStyle w:val="2"/>
              <w:spacing w:beforeLines="0" w:afterLines="0"/>
              <w:rPr>
                <w:rFonts w:hint="default"/>
                <w:sz w:val="20"/>
                <w:szCs w:val="20"/>
                <w:highlight w:val="none"/>
              </w:rPr>
            </w:pPr>
            <w:r>
              <w:rPr>
                <w:rFonts w:hint="eastAsia"/>
                <w:sz w:val="20"/>
                <w:szCs w:val="20"/>
                <w:highlight w:val="none"/>
              </w:rPr>
              <w:t>二、关于《湖南省市场监督管理局2022年度预算执行及其他财政财务收支等情况审计报告》及《向曙光任湖南省市场监督管理局党组书记、局长期间经济责任审计报告》的问题及实施的整改情况：1、省市场监管局违规转嫁人员经费、维修费用331.33万元至事务中心，其中：局机关各业务处室临聘人员费用108.57万元、无预算在事务中心劳务费中列支局办公楼等工程维修费用222.76万元的问题，在2023年度予以了纠正，严格控制各项费用支出。2、未按要求撤销“湖南省工商后勤服务中心”账户。现正在进行账户撤销流程。3、事务中心截留原省工商局以前年度房屋租金收入90.6万元的问题，已上缴财政。4、事务中心有5年账龄及以上往来款1笔14.2万元的问题，经事务中心党总支会决定已经调整账务。5、关于部分无形资产分类不准确，超实物量上限配置固定资产，未经审批配置办公设备与家具，对未经相关部门鉴定、资产管理部门审核等程序处置了资产一批，未建立资产清查盘点制度、固定资产账实不符的问题。2023年7月已将该30项无形资产在资产台账中从通用设备分类中调整至无形资产分类，并报财务调整对应会计科目，根据湖南省机关事务管理局《湖南省机关事务管理局关于部分国有资产报废处置的复函》（湘管资函〔2022〕197号）同意对我局申请报废处置的1194件资产进行报废处置，事务中心于7月对该批资产在资产台账中下卡，并报科财处下账，根据湖南省办公厅印发《湖南省省直党政机关和参公事业单位国有资产管理办法》（湘政办发〔2021〕59号）第三十六条要求，编报了年度配置预算，今后按有关文件要求，严格办理产权变更或注销手续，2023年6月对事务中心固定资产进行了清查，根据账实核对结果，将确认无误的固定资产明细数据录入到行政事业资产管理信息系统中，使财务账和资产管理系统实物账实现“账账相符”。</w:t>
            </w:r>
          </w:p>
        </w:tc>
        <w:tc>
          <w:tcPr>
            <w:tcW w:w="1484" w:type="dxa"/>
            <w:tcBorders>
              <w:top w:val="single" w:color="000000" w:sz="4" w:space="0"/>
              <w:left w:val="single" w:color="000000" w:sz="4" w:space="0"/>
              <w:bottom w:val="single" w:color="000000" w:sz="4" w:space="0"/>
              <w:right w:val="single" w:color="000000" w:sz="8"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97" w:type="dxa"/>
            <w:tcBorders>
              <w:top w:val="single" w:color="000000" w:sz="4" w:space="0"/>
              <w:left w:val="single" w:color="000000" w:sz="8" w:space="0"/>
              <w:bottom w:val="single" w:color="000000" w:sz="8" w:space="0"/>
              <w:right w:val="single" w:color="000000" w:sz="4"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lang w:bidi="ar"/>
              </w:rPr>
            </w:pPr>
            <w:r>
              <w:rPr>
                <w:rFonts w:hint="eastAsia" w:ascii="Times New Roman" w:hAnsi="Times New Roman" w:eastAsia="方正仿宋_GBK" w:cs="方正仿宋_GBK"/>
                <w:color w:val="auto"/>
                <w:sz w:val="20"/>
                <w:szCs w:val="20"/>
                <w:highlight w:val="none"/>
                <w:lang w:bidi="ar"/>
              </w:rPr>
              <w:t>6</w:t>
            </w:r>
          </w:p>
        </w:tc>
        <w:tc>
          <w:tcPr>
            <w:tcW w:w="3142" w:type="dxa"/>
            <w:tcBorders>
              <w:top w:val="single" w:color="000000" w:sz="4" w:space="0"/>
              <w:left w:val="single" w:color="000000" w:sz="4" w:space="0"/>
              <w:bottom w:val="single" w:color="000000" w:sz="8" w:space="0"/>
              <w:right w:val="single" w:color="000000" w:sz="4"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rPr>
            </w:pPr>
            <w:r>
              <w:rPr>
                <w:rFonts w:hint="eastAsia" w:ascii="Times New Roman" w:hAnsi="Times New Roman" w:eastAsia="方正仿宋_GBK" w:cs="方正仿宋_GBK"/>
                <w:color w:val="auto"/>
                <w:sz w:val="20"/>
                <w:szCs w:val="20"/>
                <w:highlight w:val="none"/>
                <w:lang w:bidi="ar"/>
              </w:rPr>
              <w:t>其他方面</w:t>
            </w:r>
          </w:p>
        </w:tc>
        <w:tc>
          <w:tcPr>
            <w:tcW w:w="8750" w:type="dxa"/>
            <w:tcBorders>
              <w:top w:val="single" w:color="000000" w:sz="4" w:space="0"/>
              <w:left w:val="single" w:color="000000" w:sz="4" w:space="0"/>
              <w:bottom w:val="single" w:color="000000" w:sz="8" w:space="0"/>
              <w:right w:val="single" w:color="000000" w:sz="4" w:space="0"/>
              <w:tl2br w:val="nil"/>
              <w:tr2bl w:val="nil"/>
            </w:tcBorders>
            <w:vAlign w:val="center"/>
          </w:tcPr>
          <w:p>
            <w:pPr>
              <w:spacing w:beforeLines="0" w:afterLines="0"/>
              <w:jc w:val="center"/>
              <w:rPr>
                <w:rFonts w:hint="eastAsia" w:ascii="Times New Roman" w:hAnsi="Times New Roman" w:eastAsia="方正仿宋_GBK" w:cs="方正仿宋_GBK"/>
                <w:color w:val="auto"/>
                <w:sz w:val="20"/>
                <w:szCs w:val="20"/>
                <w:highlight w:val="none"/>
              </w:rPr>
            </w:pPr>
          </w:p>
        </w:tc>
        <w:tc>
          <w:tcPr>
            <w:tcW w:w="1484" w:type="dxa"/>
            <w:tcBorders>
              <w:top w:val="single" w:color="000000" w:sz="4" w:space="0"/>
              <w:left w:val="single" w:color="000000" w:sz="4" w:space="0"/>
              <w:bottom w:val="single" w:color="000000" w:sz="8" w:space="0"/>
              <w:right w:val="single" w:color="000000" w:sz="8" w:space="0"/>
              <w:tl2br w:val="nil"/>
              <w:tr2bl w:val="nil"/>
            </w:tcBorders>
            <w:vAlign w:val="center"/>
          </w:tcPr>
          <w:p>
            <w:pPr>
              <w:spacing w:beforeLines="0" w:afterLines="0"/>
              <w:jc w:val="center"/>
              <w:textAlignment w:val="center"/>
              <w:rPr>
                <w:rFonts w:hint="eastAsia" w:ascii="Times New Roman" w:hAnsi="Times New Roman" w:eastAsia="方正仿宋_GBK" w:cs="方正仿宋_GBK"/>
                <w:color w:val="auto"/>
                <w:sz w:val="20"/>
                <w:szCs w:val="20"/>
                <w:highlight w:val="none"/>
              </w:rPr>
            </w:pPr>
          </w:p>
        </w:tc>
      </w:tr>
    </w:tbl>
    <w:p>
      <w:pPr>
        <w:rPr>
          <w:sz w:val="72"/>
          <w:szCs w:val="72"/>
          <w:highlight w:val="none"/>
        </w:rPr>
      </w:pPr>
    </w:p>
    <w:sectPr>
      <w:footerReference r:id="rId6" w:type="default"/>
      <w:pgSz w:w="16838" w:h="11906" w:orient="landscape"/>
      <w:pgMar w:top="1800" w:right="1440" w:bottom="1689" w:left="1440"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仿宋_GBK">
    <w:panose1 w:val="02000000000000000000"/>
    <w:charset w:val="86"/>
    <w:family w:val="script"/>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Lines="0" w:afterLines="0"/>
      <w:ind w:right="360" w:firstLine="360"/>
      <w:rPr>
        <w:rFonts w:hint="default"/>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Lines="0" w:afterLines="0"/>
      <w:rPr>
        <w:rFonts w:hint="default"/>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Lines="0" w:afterLines="0"/>
      <w:rPr>
        <w:rFonts w:hint="eastAsia"/>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rPr>
        <w:rFonts w:hint="default"/>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C68DC1"/>
    <w:multiLevelType w:val="multilevel"/>
    <w:tmpl w:val="EFC68DC1"/>
    <w:lvl w:ilvl="0" w:tentative="0">
      <w:start w:val="1"/>
      <w:numFmt w:val="chineseCounting"/>
      <w:suff w:val="nothing"/>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FDDF7859"/>
    <w:multiLevelType w:val="multilevel"/>
    <w:tmpl w:val="FDDF7859"/>
    <w:lvl w:ilvl="0" w:tentative="0">
      <w:start w:val="2"/>
      <w:numFmt w:val="chineseCounting"/>
      <w:suff w:val="nothing"/>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4NDg4MDk4ZmNjOTUwZTI4YTYwMzA2NjkxOTFkOTMifQ=="/>
    <w:docVar w:name="KSO_WPS_MARK_KEY" w:val="01c9915e-4640-42f4-a7e9-8d4f1c7290fc"/>
  </w:docVars>
  <w:rsids>
    <w:rsidRoot w:val="00172A27"/>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2F4D34"/>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773802"/>
    <w:rsid w:val="031D2FCF"/>
    <w:rsid w:val="0658214E"/>
    <w:rsid w:val="08480DF2"/>
    <w:rsid w:val="0E0B5AF2"/>
    <w:rsid w:val="10EE42D4"/>
    <w:rsid w:val="12947241"/>
    <w:rsid w:val="16512DEF"/>
    <w:rsid w:val="171F3E2C"/>
    <w:rsid w:val="17503E30"/>
    <w:rsid w:val="1C834A65"/>
    <w:rsid w:val="1D97DEFF"/>
    <w:rsid w:val="1DFF72E5"/>
    <w:rsid w:val="1EFC6F07"/>
    <w:rsid w:val="1FFFB41C"/>
    <w:rsid w:val="206D7380"/>
    <w:rsid w:val="235F5BB9"/>
    <w:rsid w:val="295D0880"/>
    <w:rsid w:val="2A564F1C"/>
    <w:rsid w:val="2CF77A27"/>
    <w:rsid w:val="2DB535F5"/>
    <w:rsid w:val="2ED748FB"/>
    <w:rsid w:val="2F1877C3"/>
    <w:rsid w:val="2FDF85B8"/>
    <w:rsid w:val="2FFFEE04"/>
    <w:rsid w:val="3200413E"/>
    <w:rsid w:val="32306420"/>
    <w:rsid w:val="33CB3D15"/>
    <w:rsid w:val="34DF85B0"/>
    <w:rsid w:val="35F75996"/>
    <w:rsid w:val="36C611A6"/>
    <w:rsid w:val="3B8F36BC"/>
    <w:rsid w:val="3CB217EF"/>
    <w:rsid w:val="3E4D4169"/>
    <w:rsid w:val="3F4F42CA"/>
    <w:rsid w:val="466E714B"/>
    <w:rsid w:val="46AA0C2A"/>
    <w:rsid w:val="471C3E9C"/>
    <w:rsid w:val="491FF225"/>
    <w:rsid w:val="4A2C1744"/>
    <w:rsid w:val="4BBC001E"/>
    <w:rsid w:val="4BC87359"/>
    <w:rsid w:val="4D2070DF"/>
    <w:rsid w:val="4E816CDB"/>
    <w:rsid w:val="4F9FF337"/>
    <w:rsid w:val="4FDB4808"/>
    <w:rsid w:val="4FFD214C"/>
    <w:rsid w:val="51AE3AA5"/>
    <w:rsid w:val="537E500E"/>
    <w:rsid w:val="55064312"/>
    <w:rsid w:val="5777D4F5"/>
    <w:rsid w:val="577B9D43"/>
    <w:rsid w:val="59DD8326"/>
    <w:rsid w:val="5CDB5013"/>
    <w:rsid w:val="5DEF592A"/>
    <w:rsid w:val="5EFDF1A8"/>
    <w:rsid w:val="5F7D704B"/>
    <w:rsid w:val="5FC6BB1E"/>
    <w:rsid w:val="5FE415E9"/>
    <w:rsid w:val="5FF720F1"/>
    <w:rsid w:val="652A307C"/>
    <w:rsid w:val="668843DD"/>
    <w:rsid w:val="66CC3515"/>
    <w:rsid w:val="67FF5C0B"/>
    <w:rsid w:val="6ABA5B95"/>
    <w:rsid w:val="6B9C69F6"/>
    <w:rsid w:val="6E6B0219"/>
    <w:rsid w:val="6EFC0924"/>
    <w:rsid w:val="6FB74722"/>
    <w:rsid w:val="6FEF8B7E"/>
    <w:rsid w:val="711E73CB"/>
    <w:rsid w:val="71A6591B"/>
    <w:rsid w:val="737D59BA"/>
    <w:rsid w:val="7412202F"/>
    <w:rsid w:val="74DD751F"/>
    <w:rsid w:val="77C37683"/>
    <w:rsid w:val="79FF515B"/>
    <w:rsid w:val="7B7FB1B6"/>
    <w:rsid w:val="7BBF0333"/>
    <w:rsid w:val="7BFE9AFC"/>
    <w:rsid w:val="7BFF2316"/>
    <w:rsid w:val="7D664E3B"/>
    <w:rsid w:val="7DAE8474"/>
    <w:rsid w:val="7E7F2473"/>
    <w:rsid w:val="7E8F19C6"/>
    <w:rsid w:val="7E9E1962"/>
    <w:rsid w:val="7E9F11B4"/>
    <w:rsid w:val="7F37EC1E"/>
    <w:rsid w:val="7F7DCD9D"/>
    <w:rsid w:val="7F970A6F"/>
    <w:rsid w:val="7FBC66DA"/>
    <w:rsid w:val="7FC1FFF3"/>
    <w:rsid w:val="7FC69637"/>
    <w:rsid w:val="7FDF8620"/>
    <w:rsid w:val="7FEF64D5"/>
    <w:rsid w:val="7FFB242F"/>
    <w:rsid w:val="7FFDB408"/>
    <w:rsid w:val="7FFE4EEB"/>
    <w:rsid w:val="7FFF6F34"/>
    <w:rsid w:val="84CDB7AA"/>
    <w:rsid w:val="95FB2B98"/>
    <w:rsid w:val="9A639BC2"/>
    <w:rsid w:val="9FF7D786"/>
    <w:rsid w:val="ABBFB23D"/>
    <w:rsid w:val="BF7FECBB"/>
    <w:rsid w:val="C3B4DA5A"/>
    <w:rsid w:val="CBFF70E0"/>
    <w:rsid w:val="CFF50B82"/>
    <w:rsid w:val="CFFFAD89"/>
    <w:rsid w:val="DFD79D0D"/>
    <w:rsid w:val="DFFE359E"/>
    <w:rsid w:val="DFFE4FFD"/>
    <w:rsid w:val="E55CAE12"/>
    <w:rsid w:val="E67AD936"/>
    <w:rsid w:val="EEABED75"/>
    <w:rsid w:val="EFEB7023"/>
    <w:rsid w:val="EFFD13C6"/>
    <w:rsid w:val="F56FDF51"/>
    <w:rsid w:val="F5AF0E63"/>
    <w:rsid w:val="F6B69F17"/>
    <w:rsid w:val="F77B36FF"/>
    <w:rsid w:val="F77F1D61"/>
    <w:rsid w:val="F7FE90CD"/>
    <w:rsid w:val="F7FED3A9"/>
    <w:rsid w:val="F8C9DB26"/>
    <w:rsid w:val="F97E8EAE"/>
    <w:rsid w:val="FAEB53AF"/>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0"/>
    <w:pPr>
      <w:spacing w:beforeLines="0" w:afterLines="0"/>
    </w:pPr>
    <w:rPr>
      <w:rFonts w:hint="default"/>
      <w:kern w:val="0"/>
      <w:sz w:val="20"/>
      <w:szCs w:val="20"/>
    </w:r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6"/>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4"/>
    <w:semiHidden/>
    <w:qFormat/>
    <w:uiPriority w:val="0"/>
    <w:pPr>
      <w:snapToGrid w:val="0"/>
      <w:jc w:val="left"/>
    </w:pPr>
    <w:rPr>
      <w:sz w:val="18"/>
      <w:szCs w:val="18"/>
    </w:rPr>
  </w:style>
  <w:style w:type="character" w:styleId="11">
    <w:name w:val="page number"/>
    <w:basedOn w:val="10"/>
    <w:unhideWhenUsed/>
    <w:qFormat/>
    <w:uiPriority w:val="0"/>
    <w:rPr>
      <w:rFonts w:hint="default"/>
      <w:sz w:val="24"/>
      <w:szCs w:val="24"/>
    </w:rPr>
  </w:style>
  <w:style w:type="character" w:customStyle="1" w:styleId="12">
    <w:name w:val="页眉 Char"/>
    <w:basedOn w:val="10"/>
    <w:link w:val="7"/>
    <w:qFormat/>
    <w:uiPriority w:val="99"/>
    <w:rPr>
      <w:sz w:val="18"/>
      <w:szCs w:val="18"/>
    </w:rPr>
  </w:style>
  <w:style w:type="character" w:customStyle="1" w:styleId="13">
    <w:name w:val="页脚 Char"/>
    <w:basedOn w:val="10"/>
    <w:link w:val="6"/>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customStyle="1" w:styleId="15">
    <w:name w:val="List Paragraph"/>
    <w:basedOn w:val="1"/>
    <w:qFormat/>
    <w:uiPriority w:val="34"/>
    <w:pPr>
      <w:ind w:firstLine="420" w:firstLineChars="200"/>
    </w:pPr>
  </w:style>
  <w:style w:type="character" w:customStyle="1" w:styleId="16">
    <w:name w:val="批注框文本 Char"/>
    <w:basedOn w:val="10"/>
    <w:link w:val="5"/>
    <w:semiHidden/>
    <w:qFormat/>
    <w:uiPriority w:val="99"/>
    <w:rPr>
      <w:sz w:val="18"/>
      <w:szCs w:val="18"/>
    </w:rPr>
  </w:style>
  <w:style w:type="character" w:customStyle="1" w:styleId="17">
    <w:name w:val="font01"/>
    <w:basedOn w:val="10"/>
    <w:qFormat/>
    <w:uiPriority w:val="0"/>
    <w:rPr>
      <w:rFonts w:hint="eastAsia" w:ascii="宋体" w:hAnsi="宋体" w:eastAsia="宋体" w:cs="宋体"/>
      <w:color w:val="000000"/>
      <w:sz w:val="22"/>
      <w:szCs w:val="22"/>
      <w:u w:val="none"/>
    </w:rPr>
  </w:style>
  <w:style w:type="character" w:customStyle="1" w:styleId="18">
    <w:name w:val="font21"/>
    <w:basedOn w:val="10"/>
    <w:qFormat/>
    <w:uiPriority w:val="0"/>
    <w:rPr>
      <w:rFonts w:hint="eastAsia" w:ascii="宋体" w:hAnsi="宋体" w:eastAsia="宋体" w:cs="宋体"/>
      <w:color w:val="000000"/>
      <w:sz w:val="24"/>
      <w:szCs w:val="24"/>
      <w:u w:val="none"/>
    </w:rPr>
  </w:style>
  <w:style w:type="character" w:customStyle="1" w:styleId="19">
    <w:name w:val="font11"/>
    <w:basedOn w:val="10"/>
    <w:qFormat/>
    <w:uiPriority w:val="0"/>
    <w:rPr>
      <w:rFonts w:hint="eastAsia" w:ascii="宋体" w:hAnsi="宋体" w:eastAsia="宋体" w:cs="宋体"/>
      <w:color w:val="000000"/>
      <w:sz w:val="24"/>
      <w:szCs w:val="24"/>
      <w:u w:val="none"/>
    </w:rPr>
  </w:style>
  <w:style w:type="character" w:customStyle="1" w:styleId="20">
    <w:name w:val="font121"/>
    <w:unhideWhenUsed/>
    <w:qFormat/>
    <w:uiPriority w:val="0"/>
    <w:rPr>
      <w:rFonts w:hint="eastAsia" w:ascii="仿宋" w:hAnsi="仿宋" w:eastAsia="仿宋" w:cs="仿宋"/>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50</Pages>
  <Words>15929</Words>
  <Characters>19777</Characters>
  <Lines>63</Lines>
  <Paragraphs>18</Paragraphs>
  <TotalTime>14</TotalTime>
  <ScaleCrop>false</ScaleCrop>
  <LinksUpToDate>false</LinksUpToDate>
  <CharactersWithSpaces>20099</CharactersWithSpaces>
  <Application>WPS Office_11.8.2.9864_F1E327BC-269C-435d-A152-05C5408002CA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2020-07-11T18:32:00Z</dcterms:created>
  <dc:creator>李航 null</dc:creator>
  <cp:lastModifiedBy>kylin</cp:lastModifiedBy>
  <cp:lastPrinted>2024-09-13T00:47:00Z</cp:lastPrinted>
  <dcterms:modified xsi:type="dcterms:W3CDTF">2024-09-20T17:17:57Z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y fmtid="{D5CDD505-2E9C-101B-9397-08002B2CF9AE}" pid="3" name="ICV">
    <vt:lpwstr>434473AE7E9442D0A228B7F41ADA91FD_13</vt:lpwstr>
  </property>
</Properties>
</file>